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887" w:rsidRDefault="00D90A77">
      <w:pPr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>附件1</w:t>
      </w:r>
    </w:p>
    <w:p w:rsidR="00844887" w:rsidRDefault="00D90A77">
      <w:pPr>
        <w:jc w:val="center"/>
        <w:rPr>
          <w:rFonts w:ascii="黑体" w:eastAsia="黑体" w:hAnsi="黑体"/>
          <w:color w:val="000000" w:themeColor="text1"/>
          <w:sz w:val="40"/>
        </w:rPr>
      </w:pPr>
      <w:r>
        <w:rPr>
          <w:rFonts w:ascii="黑体" w:eastAsia="黑体" w:hAnsi="黑体" w:hint="eastAsia"/>
          <w:color w:val="000000" w:themeColor="text1"/>
          <w:sz w:val="40"/>
        </w:rPr>
        <w:t>职权目录（港湾校区）</w:t>
      </w:r>
    </w:p>
    <w:tbl>
      <w:tblPr>
        <w:tblStyle w:val="a5"/>
        <w:tblpPr w:leftFromText="180" w:rightFromText="180" w:vertAnchor="text" w:horzAnchor="margin" w:tblpXSpec="center" w:tblpY="156"/>
        <w:tblOverlap w:val="never"/>
        <w:tblW w:w="10598" w:type="dxa"/>
        <w:tblLayout w:type="fixed"/>
        <w:tblLook w:val="04A0"/>
      </w:tblPr>
      <w:tblGrid>
        <w:gridCol w:w="676"/>
        <w:gridCol w:w="1417"/>
        <w:gridCol w:w="1276"/>
        <w:gridCol w:w="5103"/>
        <w:gridCol w:w="709"/>
        <w:gridCol w:w="1417"/>
      </w:tblGrid>
      <w:tr w:rsidR="00732823" w:rsidTr="0046070C">
        <w:trPr>
          <w:trHeight w:val="7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Default="0073282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2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kern w:val="0"/>
                <w:sz w:val="22"/>
                <w:szCs w:val="18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Default="00732823">
            <w:pPr>
              <w:jc w:val="center"/>
              <w:rPr>
                <w:rFonts w:ascii="黑体" w:eastAsia="黑体" w:hAnsi="黑体"/>
                <w:b/>
                <w:bCs/>
                <w:color w:val="000000" w:themeColor="text1"/>
                <w:kern w:val="0"/>
                <w:sz w:val="22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kern w:val="0"/>
                <w:sz w:val="22"/>
                <w:szCs w:val="18"/>
              </w:rPr>
              <w:t>职权</w:t>
            </w:r>
          </w:p>
          <w:p w:rsidR="00732823" w:rsidRDefault="0073282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2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kern w:val="0"/>
                <w:sz w:val="22"/>
                <w:szCs w:val="18"/>
              </w:rPr>
              <w:t>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Default="00732823">
            <w:pPr>
              <w:jc w:val="center"/>
              <w:rPr>
                <w:rFonts w:ascii="黑体" w:eastAsia="黑体" w:hAnsi="黑体"/>
                <w:b/>
                <w:bCs/>
                <w:color w:val="000000" w:themeColor="text1"/>
                <w:kern w:val="0"/>
                <w:sz w:val="22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kern w:val="0"/>
                <w:sz w:val="22"/>
                <w:szCs w:val="18"/>
              </w:rPr>
              <w:t>职权</w:t>
            </w:r>
          </w:p>
          <w:p w:rsidR="00732823" w:rsidRDefault="00732823">
            <w:pPr>
              <w:jc w:val="center"/>
              <w:rPr>
                <w:rFonts w:ascii="黑体" w:eastAsia="黑体" w:hAnsi="黑体"/>
                <w:color w:val="000000" w:themeColor="text1"/>
                <w:kern w:val="0"/>
                <w:sz w:val="22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kern w:val="0"/>
                <w:sz w:val="22"/>
                <w:szCs w:val="18"/>
              </w:rPr>
              <w:t>内容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Default="00732823">
            <w:pPr>
              <w:jc w:val="center"/>
              <w:rPr>
                <w:rFonts w:ascii="黑体" w:eastAsia="黑体" w:hAnsi="黑体"/>
                <w:b/>
                <w:bCs/>
                <w:color w:val="000000" w:themeColor="text1"/>
                <w:kern w:val="0"/>
                <w:sz w:val="22"/>
                <w:szCs w:val="18"/>
              </w:rPr>
            </w:pPr>
            <w:bookmarkStart w:id="0" w:name="_GoBack"/>
            <w:bookmarkEnd w:id="0"/>
            <w:r>
              <w:rPr>
                <w:rFonts w:ascii="黑体" w:eastAsia="黑体" w:hAnsi="黑体" w:hint="eastAsia"/>
                <w:b/>
                <w:bCs/>
                <w:color w:val="000000" w:themeColor="text1"/>
                <w:kern w:val="0"/>
                <w:sz w:val="22"/>
                <w:szCs w:val="18"/>
              </w:rPr>
              <w:t>行使依据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Default="00732823" w:rsidP="00732823">
            <w:pPr>
              <w:jc w:val="center"/>
              <w:rPr>
                <w:rFonts w:ascii="黑体" w:eastAsia="黑体" w:hAnsi="黑体"/>
                <w:b/>
                <w:bCs/>
                <w:color w:val="000000" w:themeColor="text1"/>
                <w:kern w:val="0"/>
                <w:sz w:val="22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kern w:val="0"/>
                <w:sz w:val="22"/>
                <w:szCs w:val="18"/>
              </w:rPr>
              <w:t>行使主体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Default="00732823">
            <w:pPr>
              <w:jc w:val="center"/>
              <w:rPr>
                <w:rFonts w:ascii="黑体" w:eastAsia="黑体" w:hAnsi="黑体"/>
                <w:b/>
                <w:bCs/>
                <w:color w:val="000000" w:themeColor="text1"/>
                <w:kern w:val="0"/>
                <w:sz w:val="22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color w:val="000000" w:themeColor="text1"/>
                <w:kern w:val="0"/>
                <w:sz w:val="22"/>
                <w:szCs w:val="18"/>
              </w:rPr>
              <w:t>责任部门</w:t>
            </w:r>
          </w:p>
        </w:tc>
      </w:tr>
      <w:tr w:rsidR="00732823" w:rsidTr="0046070C">
        <w:trPr>
          <w:trHeight w:val="1847"/>
        </w:trPr>
        <w:tc>
          <w:tcPr>
            <w:tcW w:w="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3065D7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3065D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专业建设（课程建设）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3065D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选择决定权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3065D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《上海海事大学财务管理办法》</w:t>
            </w:r>
          </w:p>
          <w:p w:rsidR="00732823" w:rsidRPr="003065D7" w:rsidRDefault="00732823" w:rsidP="003065D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《上海海事大学港湾校区党政联席会议议事规则》</w:t>
            </w:r>
          </w:p>
          <w:p w:rsidR="00732823" w:rsidRPr="003065D7" w:rsidRDefault="00732823" w:rsidP="003065D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 w:rsidR="0004750F" w:rsidRPr="003065D7">
              <w:rPr>
                <w:rFonts w:asciiTheme="minorEastAsia" w:hAnsiTheme="minorEastAsia" w:hint="eastAsia"/>
                <w:sz w:val="18"/>
                <w:szCs w:val="18"/>
              </w:rPr>
              <w:t>中共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上海海事大学港湾校区委员会关于实施“三重一大”制度的若干规定》</w:t>
            </w:r>
          </w:p>
          <w:p w:rsidR="00732823" w:rsidRPr="003065D7" w:rsidRDefault="00732823" w:rsidP="003065D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《上海海事大学港湾校区项目管理实施细则（试行）》</w:t>
            </w:r>
          </w:p>
          <w:p w:rsidR="00732823" w:rsidRPr="003065D7" w:rsidRDefault="00732823" w:rsidP="003065D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《上海海事大学港湾校区自行采购管理实施细则》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3065D7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各专业（部）</w:t>
            </w:r>
          </w:p>
          <w:p w:rsidR="00732823" w:rsidRPr="00E3136D" w:rsidRDefault="00732823" w:rsidP="002C32B5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实训中心</w:t>
            </w:r>
            <w:r w:rsidR="00E646DA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等</w:t>
            </w:r>
          </w:p>
        </w:tc>
      </w:tr>
      <w:tr w:rsidR="00732823" w:rsidTr="0046070C">
        <w:trPr>
          <w:trHeight w:val="225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项目建设（含基建修缮）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选择决定权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《上海海事大学港湾校区党政联席会议议事规则》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 w:rsidR="0004750F" w:rsidRPr="003065D7">
              <w:rPr>
                <w:rFonts w:asciiTheme="minorEastAsia" w:hAnsiTheme="minorEastAsia" w:hint="eastAsia"/>
                <w:sz w:val="18"/>
                <w:szCs w:val="18"/>
              </w:rPr>
              <w:t>中共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上海海事大学港湾校区委员会关于实施“三重一大”制度的若干规定》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《上海海事大学港湾校区项目管理实施细则（试行）》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《上海海事大学港湾校区自行采购管理实施细则》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《上海海事大学关于加强基建（修缮）监管工作的实施意见》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《上海海事大学财务管理办法》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DA" w:rsidRDefault="00732823" w:rsidP="00E646DA">
            <w:pPr>
              <w:jc w:val="center"/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后勤</w:t>
            </w:r>
            <w:r w:rsidR="00362623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服务中心</w:t>
            </w:r>
          </w:p>
          <w:p w:rsidR="00362623" w:rsidRDefault="00E646DA" w:rsidP="00E646DA">
            <w:pPr>
              <w:jc w:val="center"/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实训中心</w:t>
            </w:r>
          </w:p>
          <w:p w:rsidR="00E646DA" w:rsidRPr="00E3136D" w:rsidRDefault="00E646DA" w:rsidP="00E646DA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电教中心等</w:t>
            </w:r>
          </w:p>
        </w:tc>
      </w:tr>
      <w:tr w:rsidR="00732823" w:rsidTr="0046070C">
        <w:trPr>
          <w:trHeight w:val="9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办公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物资采购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物资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采购权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《上海海事大学财务管理办法》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《上海海事大学物资采购管理办法》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《上海海事大学港湾校区办公用品请购规定》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2C32B5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资产管理科</w:t>
            </w:r>
          </w:p>
        </w:tc>
      </w:tr>
      <w:tr w:rsidR="00732823" w:rsidTr="0046070C">
        <w:trPr>
          <w:trHeight w:val="68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图书教材采购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图书采购权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《上海海事大学财务管理办法》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上海海事大学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港湾校区教材采购与发放管理办法》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图书馆</w:t>
            </w:r>
          </w:p>
        </w:tc>
      </w:tr>
      <w:tr w:rsidR="00732823" w:rsidTr="0046070C">
        <w:trPr>
          <w:trHeight w:val="8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科研经费管理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经费初审权，项目规范性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《上海海事大学财务管理办法》</w:t>
            </w:r>
          </w:p>
          <w:p w:rsidR="00732823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 w:rsidRPr="003C44C2">
              <w:rPr>
                <w:rFonts w:asciiTheme="minorEastAsia" w:hAnsiTheme="minorEastAsia" w:hint="eastAsia"/>
                <w:sz w:val="18"/>
                <w:szCs w:val="18"/>
              </w:rPr>
              <w:t>上海海事大学港湾校区教育管理课题暂行管理办法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》</w:t>
            </w:r>
          </w:p>
          <w:p w:rsidR="00732823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 w:rsidRPr="003C44C2">
              <w:rPr>
                <w:rFonts w:asciiTheme="minorEastAsia" w:hAnsiTheme="minorEastAsia" w:hint="eastAsia"/>
                <w:sz w:val="18"/>
                <w:szCs w:val="18"/>
              </w:rPr>
              <w:t>上海海事大学港湾校区校内课题经费管理办法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 w:rsidRPr="003C44C2">
              <w:rPr>
                <w:rFonts w:asciiTheme="minorEastAsia" w:hAnsiTheme="minorEastAsia" w:hint="eastAsia"/>
                <w:sz w:val="18"/>
                <w:szCs w:val="18"/>
              </w:rPr>
              <w:t>上海海事大学港湾校区校内课题经费执行实施细则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2C32B5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教育研究室</w:t>
            </w:r>
          </w:p>
        </w:tc>
      </w:tr>
      <w:tr w:rsidR="00732823" w:rsidTr="0046070C">
        <w:trPr>
          <w:trHeight w:val="11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中专招生录取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招生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录取权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，操作合规性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《上海港湾学校2020年招生宣传手册》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《上海市教育委员会关于2020年本市中等学校高中阶段考试招生工作的若干意见》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2C32B5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招</w:t>
            </w:r>
            <w:r w:rsidR="00BB1175"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生与</w:t>
            </w: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就</w:t>
            </w:r>
            <w:r w:rsidR="00BB1175"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业工作</w:t>
            </w: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</w:t>
            </w:r>
            <w:r w:rsidR="00BB1175"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公室</w:t>
            </w:r>
          </w:p>
        </w:tc>
      </w:tr>
      <w:tr w:rsidR="00732823" w:rsidTr="0046070C">
        <w:trPr>
          <w:trHeight w:val="84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高职招生录取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招生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录取权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，操作合规性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《普通高等学校招生违规行为处理暂行办法》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《上海海事大学招生监察工作实施办法》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航海职教部</w:t>
            </w:r>
          </w:p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函授夜大部</w:t>
            </w:r>
          </w:p>
        </w:tc>
      </w:tr>
      <w:tr w:rsidR="00732823" w:rsidTr="0046070C">
        <w:trPr>
          <w:trHeight w:val="24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各类学生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评奖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评优工作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材料审核权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资格推荐权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以及流程规范性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上海港湾学校奖学金评定办法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《上海港湾学校个人和集体评奖评优评定办法》</w:t>
            </w:r>
          </w:p>
          <w:p w:rsidR="00732823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《上海港湾学校学生思想品德操行考核办法》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《关于评选上海海事大学五四红旗团支部、优秀团支部、优秀团员、优秀团干部和魅力团支书的通知》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《关于评选上海海事大学优秀学生、优秀学生干部、三好积极分子和优秀班集体的通知》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学生科</w:t>
            </w:r>
          </w:p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团委</w:t>
            </w:r>
          </w:p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航海职教部</w:t>
            </w:r>
          </w:p>
        </w:tc>
      </w:tr>
      <w:tr w:rsidR="00732823" w:rsidTr="0046070C">
        <w:trPr>
          <w:trHeight w:val="254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教职工职称初评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初评推荐权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333" w:type="dxa"/>
              <w:tblLayout w:type="fixed"/>
              <w:tblLook w:val="04A0"/>
            </w:tblPr>
            <w:tblGrid>
              <w:gridCol w:w="4333"/>
            </w:tblGrid>
            <w:tr w:rsidR="00732823" w:rsidRPr="003065D7" w:rsidTr="00E737DF">
              <w:trPr>
                <w:trHeight w:val="2694"/>
              </w:trPr>
              <w:tc>
                <w:tcPr>
                  <w:tcW w:w="4333" w:type="dxa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:rsidR="00732823" w:rsidRPr="003065D7" w:rsidRDefault="00732823" w:rsidP="00732823">
                  <w:pPr>
                    <w:framePr w:hSpace="180" w:wrap="around" w:vAnchor="text" w:hAnchor="margin" w:xAlign="center" w:y="156"/>
                    <w:suppressOverlap/>
                    <w:jc w:val="left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3065D7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《上海海事大学专业技术职务聘任实施办法》</w:t>
                  </w:r>
                </w:p>
                <w:p w:rsidR="00732823" w:rsidRPr="003065D7" w:rsidRDefault="00732823" w:rsidP="00732823">
                  <w:pPr>
                    <w:framePr w:hSpace="180" w:wrap="around" w:vAnchor="text" w:hAnchor="margin" w:xAlign="center" w:y="156"/>
                    <w:suppressOverlap/>
                    <w:jc w:val="left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3065D7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《上海海事大学实验系列高级实验师任职基本条件》</w:t>
                  </w:r>
                </w:p>
                <w:p w:rsidR="00732823" w:rsidRPr="003065D7" w:rsidRDefault="00732823" w:rsidP="00732823">
                  <w:pPr>
                    <w:framePr w:hSpace="180" w:wrap="around" w:vAnchor="text" w:hAnchor="margin" w:xAlign="center" w:y="156"/>
                    <w:suppressOverlap/>
                    <w:jc w:val="left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3065D7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《教师系列和其他专业技术职务系列中级职务聘任条件》</w:t>
                  </w:r>
                </w:p>
                <w:p w:rsidR="00732823" w:rsidRDefault="00732823" w:rsidP="00732823">
                  <w:pPr>
                    <w:framePr w:hSpace="180" w:wrap="around" w:vAnchor="text" w:hAnchor="margin" w:xAlign="center" w:y="156"/>
                    <w:suppressOverlap/>
                    <w:jc w:val="left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3065D7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《上海海事大学学生思想政治教育系列教师专业技术职务聘任细则》</w:t>
                  </w:r>
                </w:p>
                <w:p w:rsidR="00E4225E" w:rsidRPr="003065D7" w:rsidRDefault="00E4225E" w:rsidP="00732823">
                  <w:pPr>
                    <w:framePr w:hSpace="180" w:wrap="around" w:vAnchor="text" w:hAnchor="margin" w:xAlign="center" w:y="156"/>
                    <w:suppressOverlap/>
                    <w:jc w:val="left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3065D7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《中共上海海事大学港湾校区委员会关于实施“三重一大”制度的若干规定》</w:t>
                  </w:r>
                </w:p>
                <w:p w:rsidR="00732823" w:rsidRPr="003065D7" w:rsidRDefault="00732823" w:rsidP="00732823">
                  <w:pPr>
                    <w:framePr w:hSpace="180" w:wrap="around" w:vAnchor="text" w:hAnchor="margin" w:xAlign="center" w:y="156"/>
                    <w:suppressOverlap/>
                    <w:jc w:val="left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3065D7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《上海海事大学关于开展我校XXXX年度高、中级专业技术职务聘任工作的通知》</w:t>
                  </w:r>
                  <w:r>
                    <w:rPr>
                      <w:rFonts w:asciiTheme="minorEastAsia" w:hAnsiTheme="minorEastAsia" w:hint="eastAsia"/>
                      <w:sz w:val="18"/>
                      <w:szCs w:val="18"/>
                    </w:rPr>
                    <w:t>等</w:t>
                  </w:r>
                </w:p>
              </w:tc>
            </w:tr>
          </w:tbl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办公室</w:t>
            </w:r>
          </w:p>
        </w:tc>
      </w:tr>
      <w:tr w:rsidR="00732823" w:rsidTr="0046070C">
        <w:trPr>
          <w:trHeight w:val="9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党员发展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BD011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发展对象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的确定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培养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、发展流程的</w:t>
            </w:r>
            <w:r w:rsidR="00BD0119">
              <w:rPr>
                <w:rFonts w:asciiTheme="minorEastAsia" w:hAnsiTheme="minorEastAsia" w:hint="eastAsia"/>
                <w:sz w:val="18"/>
                <w:szCs w:val="18"/>
              </w:rPr>
              <w:t>规范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《中国共产党章程》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《中共上海海事大学港湾校区委员会发展党员工作程序》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《中共上海海事大学港湾校区委员会例会制度》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B5" w:rsidRPr="00E3136D" w:rsidRDefault="002C32B5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办公室</w:t>
            </w:r>
          </w:p>
          <w:p w:rsidR="00732823" w:rsidRPr="00E3136D" w:rsidRDefault="002C32B5" w:rsidP="009C0191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（党办）</w:t>
            </w:r>
          </w:p>
        </w:tc>
      </w:tr>
      <w:tr w:rsidR="00732823" w:rsidTr="0046070C">
        <w:trPr>
          <w:trHeight w:val="11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党内评奖评优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选拨推荐权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《中共上海海事大学港湾校区委员会例会制度》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《中共上海海事大学港湾校区委员会党支部工作考核办法》</w:t>
            </w:r>
          </w:p>
          <w:p w:rsidR="00732823" w:rsidRPr="003065D7" w:rsidRDefault="00732823" w:rsidP="00E4225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《中共上海海事大学港湾校区委员会“先进党支部、优秀共产党员、优秀党务工作者”的评选办法》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B5" w:rsidRPr="00E3136D" w:rsidRDefault="002C32B5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办公室</w:t>
            </w:r>
          </w:p>
          <w:p w:rsidR="00732823" w:rsidRPr="00E3136D" w:rsidRDefault="002C32B5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（党办）</w:t>
            </w:r>
          </w:p>
        </w:tc>
      </w:tr>
      <w:tr w:rsidR="00732823" w:rsidTr="0046070C">
        <w:trPr>
          <w:trHeight w:val="165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校区科级干部选拨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、推荐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选拨推荐权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 w:rsidRPr="003065D7">
              <w:rPr>
                <w:rFonts w:asciiTheme="minorEastAsia" w:hAnsiTheme="minorEastAsia"/>
                <w:sz w:val="18"/>
                <w:szCs w:val="18"/>
              </w:rPr>
              <w:t>上海海事大学党政领导干部选拔任用工作条例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《中共上海海事大学港湾校区委员会例会制度》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《上海海事大学港湾校区党政联席会议议事规则》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《中共上海海事大学港湾校区委员会关于实施“三重一大”制度的若干规定》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B5" w:rsidRPr="00E3136D" w:rsidRDefault="002C32B5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办公室</w:t>
            </w:r>
          </w:p>
          <w:p w:rsidR="00732823" w:rsidRPr="00E3136D" w:rsidRDefault="002C32B5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（党办）</w:t>
            </w:r>
          </w:p>
        </w:tc>
      </w:tr>
      <w:tr w:rsidR="00732823" w:rsidTr="0046070C">
        <w:trPr>
          <w:trHeight w:val="10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党费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支出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党费使用权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/>
                <w:sz w:val="18"/>
                <w:szCs w:val="18"/>
              </w:rPr>
              <w:t>《关于中国共产党党费收缴、使用和管理的规定》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（中组部）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《中共上海海事大学港湾校区委员会例会制度》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《中共上海海事大学港湾校区委员会会党务公开实施办法》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2B5" w:rsidRPr="00E3136D" w:rsidRDefault="002C32B5" w:rsidP="002C32B5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办公室</w:t>
            </w:r>
          </w:p>
          <w:p w:rsidR="00732823" w:rsidRPr="00E3136D" w:rsidRDefault="002C32B5" w:rsidP="002C32B5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（党办）</w:t>
            </w:r>
          </w:p>
        </w:tc>
      </w:tr>
      <w:tr w:rsidR="00732823" w:rsidTr="0046070C">
        <w:trPr>
          <w:trHeight w:val="8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/>
                <w:sz w:val="18"/>
                <w:szCs w:val="18"/>
              </w:rPr>
              <w:t>教职工因公出国(境)管理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/>
                <w:sz w:val="18"/>
                <w:szCs w:val="18"/>
              </w:rPr>
              <w:t>人员选拔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、教育管理权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</w:t>
            </w:r>
            <w:r w:rsidRPr="003065D7">
              <w:rPr>
                <w:rFonts w:asciiTheme="minorEastAsia" w:hAnsiTheme="minorEastAsia"/>
                <w:sz w:val="18"/>
                <w:szCs w:val="18"/>
              </w:rPr>
              <w:t>上海海事大学教职工因公出国(境)管理办法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《上海海事大学港湾校区党政联席会议议事规则》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办公室</w:t>
            </w:r>
          </w:p>
        </w:tc>
      </w:tr>
      <w:tr w:rsidR="00732823" w:rsidTr="0046070C">
        <w:trPr>
          <w:trHeight w:val="213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教职工绩效发放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发放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方案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的</w:t>
            </w: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确定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权，具体实施情况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《上海海事大学港湾校区党政联席会议议事规则》</w:t>
            </w:r>
          </w:p>
          <w:p w:rsidR="00732823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《中共上海海事大学港湾校区委员会关于实施“三重一大”制度的若干规定》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《高等技术学院、港湾学校绩效工资实施方案(专任教师、专技人员、管理人员)》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《上海海事大学港湾校区职工考核实施细则》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《上海海事大学港湾校区部门考核实施办法》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办公室</w:t>
            </w:r>
          </w:p>
        </w:tc>
      </w:tr>
      <w:tr w:rsidR="00732823" w:rsidTr="0046070C">
        <w:trPr>
          <w:trHeight w:val="184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教职工各类评奖评优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初评审核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权，流程规范性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《上海海事大学教职工考核办法》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《上海海事大学港湾校区党政联席会议议事规则》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《上海海事大学港湾校区职工考核实施细则》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《高等技术学院、港湾学校教师考核实施细则》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《上海海事大学港湾校区部门考核实施办法》</w:t>
            </w:r>
          </w:p>
          <w:p w:rsidR="00732823" w:rsidRPr="003065D7" w:rsidRDefault="00732823" w:rsidP="0073282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3065D7">
              <w:rPr>
                <w:rFonts w:asciiTheme="minorEastAsia" w:hAnsiTheme="minorEastAsia" w:hint="eastAsia"/>
                <w:sz w:val="18"/>
                <w:szCs w:val="18"/>
              </w:rPr>
              <w:t>《上海海事大学港湾校区单项奖评选实施办法》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3065D7" w:rsidRDefault="00732823" w:rsidP="0073282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港湾校区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23" w:rsidRPr="00E3136D" w:rsidRDefault="00732823" w:rsidP="00732823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18"/>
                <w:szCs w:val="18"/>
              </w:rPr>
            </w:pPr>
            <w:r w:rsidRPr="00E3136D">
              <w:rPr>
                <w:rFonts w:asciiTheme="minorEastAsia" w:hAnsiTheme="minorEastAsia" w:hint="eastAsia"/>
                <w:b/>
                <w:bCs/>
                <w:color w:val="FF0000"/>
                <w:sz w:val="18"/>
                <w:szCs w:val="18"/>
              </w:rPr>
              <w:t>办公室</w:t>
            </w:r>
          </w:p>
        </w:tc>
      </w:tr>
    </w:tbl>
    <w:p w:rsidR="00844887" w:rsidRDefault="00844887">
      <w:pPr>
        <w:widowControl/>
        <w:jc w:val="left"/>
      </w:pPr>
    </w:p>
    <w:sectPr w:rsidR="00844887" w:rsidSect="00DC10F3">
      <w:footerReference w:type="default" r:id="rId7"/>
      <w:pgSz w:w="11906" w:h="16838"/>
      <w:pgMar w:top="1440" w:right="1077" w:bottom="1440" w:left="1077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AB7" w:rsidRDefault="00615AB7" w:rsidP="00844887">
      <w:r>
        <w:separator/>
      </w:r>
    </w:p>
  </w:endnote>
  <w:endnote w:type="continuationSeparator" w:id="0">
    <w:p w:rsidR="00615AB7" w:rsidRDefault="00615AB7" w:rsidP="00844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529438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:rsidR="00844887" w:rsidRDefault="00D90A77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 w:rsidR="004264B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264B7">
              <w:rPr>
                <w:b/>
                <w:bCs/>
                <w:sz w:val="24"/>
                <w:szCs w:val="24"/>
              </w:rPr>
              <w:fldChar w:fldCharType="separate"/>
            </w:r>
            <w:r w:rsidR="0046070C">
              <w:rPr>
                <w:b/>
                <w:bCs/>
                <w:noProof/>
                <w:sz w:val="24"/>
                <w:szCs w:val="24"/>
              </w:rPr>
              <w:t>2</w:t>
            </w:r>
            <w:r w:rsidR="004264B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4264B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264B7">
              <w:rPr>
                <w:b/>
                <w:bCs/>
                <w:sz w:val="24"/>
                <w:szCs w:val="24"/>
              </w:rPr>
              <w:fldChar w:fldCharType="separate"/>
            </w:r>
            <w:r w:rsidR="0046070C">
              <w:rPr>
                <w:b/>
                <w:bCs/>
                <w:noProof/>
                <w:sz w:val="24"/>
                <w:szCs w:val="24"/>
              </w:rPr>
              <w:t>2</w:t>
            </w:r>
            <w:r w:rsidR="004264B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AB7" w:rsidRDefault="00615AB7" w:rsidP="00844887">
      <w:r>
        <w:separator/>
      </w:r>
    </w:p>
  </w:footnote>
  <w:footnote w:type="continuationSeparator" w:id="0">
    <w:p w:rsidR="00615AB7" w:rsidRDefault="00615AB7" w:rsidP="008448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5248"/>
    <w:rsid w:val="00035F52"/>
    <w:rsid w:val="0004750F"/>
    <w:rsid w:val="00073623"/>
    <w:rsid w:val="001654F3"/>
    <w:rsid w:val="001A2127"/>
    <w:rsid w:val="001B74EB"/>
    <w:rsid w:val="001C7960"/>
    <w:rsid w:val="00216B09"/>
    <w:rsid w:val="002213E8"/>
    <w:rsid w:val="00271BD3"/>
    <w:rsid w:val="002C32B5"/>
    <w:rsid w:val="002C70D1"/>
    <w:rsid w:val="003065D7"/>
    <w:rsid w:val="00306799"/>
    <w:rsid w:val="0031106A"/>
    <w:rsid w:val="00311CE2"/>
    <w:rsid w:val="00362623"/>
    <w:rsid w:val="003B4C5E"/>
    <w:rsid w:val="003C34EC"/>
    <w:rsid w:val="003C44C2"/>
    <w:rsid w:val="003F4E29"/>
    <w:rsid w:val="003F6D37"/>
    <w:rsid w:val="004264B7"/>
    <w:rsid w:val="0046070C"/>
    <w:rsid w:val="0048557A"/>
    <w:rsid w:val="00506D78"/>
    <w:rsid w:val="00535E08"/>
    <w:rsid w:val="00540B81"/>
    <w:rsid w:val="00542CFF"/>
    <w:rsid w:val="00547EFD"/>
    <w:rsid w:val="005550EF"/>
    <w:rsid w:val="00593DAB"/>
    <w:rsid w:val="005E24F4"/>
    <w:rsid w:val="00615AB7"/>
    <w:rsid w:val="00630784"/>
    <w:rsid w:val="00647234"/>
    <w:rsid w:val="00666FBB"/>
    <w:rsid w:val="006B68D9"/>
    <w:rsid w:val="00702D85"/>
    <w:rsid w:val="00713F93"/>
    <w:rsid w:val="00732823"/>
    <w:rsid w:val="0074164F"/>
    <w:rsid w:val="007B0CD5"/>
    <w:rsid w:val="00844887"/>
    <w:rsid w:val="009240D2"/>
    <w:rsid w:val="00930A48"/>
    <w:rsid w:val="009A49E2"/>
    <w:rsid w:val="009C0191"/>
    <w:rsid w:val="00A26669"/>
    <w:rsid w:val="00A7772F"/>
    <w:rsid w:val="00AB71AC"/>
    <w:rsid w:val="00AF21C7"/>
    <w:rsid w:val="00B1585D"/>
    <w:rsid w:val="00B253E9"/>
    <w:rsid w:val="00B34033"/>
    <w:rsid w:val="00B62FBE"/>
    <w:rsid w:val="00B731B6"/>
    <w:rsid w:val="00B97D3D"/>
    <w:rsid w:val="00BB1175"/>
    <w:rsid w:val="00BD0119"/>
    <w:rsid w:val="00BD12B5"/>
    <w:rsid w:val="00BE245D"/>
    <w:rsid w:val="00C41AE4"/>
    <w:rsid w:val="00CA6DAD"/>
    <w:rsid w:val="00D103E9"/>
    <w:rsid w:val="00D25248"/>
    <w:rsid w:val="00D2665F"/>
    <w:rsid w:val="00D90A77"/>
    <w:rsid w:val="00D92FC3"/>
    <w:rsid w:val="00DA04CB"/>
    <w:rsid w:val="00DC10F3"/>
    <w:rsid w:val="00E3136D"/>
    <w:rsid w:val="00E4225E"/>
    <w:rsid w:val="00E646DA"/>
    <w:rsid w:val="00E737DF"/>
    <w:rsid w:val="00E900A7"/>
    <w:rsid w:val="00E952FC"/>
    <w:rsid w:val="00EA7162"/>
    <w:rsid w:val="00EB5FF7"/>
    <w:rsid w:val="00F41254"/>
    <w:rsid w:val="00F50B4A"/>
    <w:rsid w:val="00F93AAF"/>
    <w:rsid w:val="00FF78DB"/>
    <w:rsid w:val="060214EA"/>
    <w:rsid w:val="16EF6D2A"/>
    <w:rsid w:val="1ED950AB"/>
    <w:rsid w:val="691C29F2"/>
    <w:rsid w:val="7B2B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8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6B68D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844887"/>
    <w:pPr>
      <w:spacing w:beforeLines="50" w:afterLines="50" w:line="500" w:lineRule="exact"/>
      <w:jc w:val="center"/>
      <w:outlineLvl w:val="1"/>
    </w:pPr>
    <w:rPr>
      <w:rFonts w:ascii="宋体" w:eastAsia="楷体" w:hAnsi="宋体" w:cs="Times New Roman" w:hint="eastAsia"/>
      <w:b/>
      <w:kern w:val="0"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448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44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8448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84488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44887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844887"/>
    <w:rPr>
      <w:rFonts w:ascii="宋体" w:eastAsia="楷体" w:hAnsi="宋体" w:cs="Times New Roman"/>
      <w:b/>
      <w:kern w:val="0"/>
      <w:sz w:val="32"/>
      <w:szCs w:val="36"/>
    </w:rPr>
  </w:style>
  <w:style w:type="paragraph" w:customStyle="1" w:styleId="Style2">
    <w:name w:val="_Style 2"/>
    <w:basedOn w:val="a"/>
    <w:uiPriority w:val="99"/>
    <w:unhideWhenUsed/>
    <w:qFormat/>
    <w:rsid w:val="00844887"/>
    <w:pPr>
      <w:ind w:firstLineChars="200" w:firstLine="420"/>
    </w:pPr>
    <w:rPr>
      <w:szCs w:val="24"/>
    </w:rPr>
  </w:style>
  <w:style w:type="character" w:customStyle="1" w:styleId="1Char">
    <w:name w:val="标题 1 Char"/>
    <w:basedOn w:val="a0"/>
    <w:link w:val="1"/>
    <w:uiPriority w:val="9"/>
    <w:rsid w:val="006B68D9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323</Words>
  <Characters>1847</Characters>
  <Application>Microsoft Office Word</Application>
  <DocSecurity>0</DocSecurity>
  <Lines>15</Lines>
  <Paragraphs>4</Paragraphs>
  <ScaleCrop>false</ScaleCrop>
  <Company>微软中国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2020-04-22T08:00:00Z</cp:lastPrinted>
  <dcterms:created xsi:type="dcterms:W3CDTF">2020-06-16T13:45:00Z</dcterms:created>
  <dcterms:modified xsi:type="dcterms:W3CDTF">2020-06-16T14:46:00Z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