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港湾校区机关党支部线上组织生活会纪要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时间：</w:t>
      </w:r>
      <w:r>
        <w:rPr>
          <w:rFonts w:hint="eastAsia"/>
          <w:sz w:val="28"/>
          <w:szCs w:val="28"/>
          <w:lang w:val="en-US" w:eastAsia="zh-CN"/>
        </w:rPr>
        <w:t>4月22日10:00-10:45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形式：腾讯会议视频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主题：</w:t>
      </w:r>
      <w:r>
        <w:rPr>
          <w:rFonts w:hint="eastAsia"/>
          <w:sz w:val="28"/>
          <w:szCs w:val="28"/>
        </w:rPr>
        <w:t>加强党风廉政建设，推动全面从严治党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与会人员：夏善黎、王新慧、李海文、唐晓晖、罗高美、冯璐、周楠、彭敬竹、姚翼、林枫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请假：王珏（会后材料传达）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内容：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传达学习文件精神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《习近平：一以贯之全面从严治党强化对权力运行的制约和监督 为决胜全面建成小康社会决战脱贫攻坚提供坚强保障》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《中国共产党第十九届中央纪律检查委员会第四次全体会议公报》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《李强：始终保持自我革命精神，坚定不移推动全面从严治党向纵深发展 确保管党治党制度时时生威处处有效》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《上海海事大学2020年全面从严治党工作要点》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传达学习市教卫工作党委、市教委关于深化教育系统廉政风险防控工作的有关精神；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传达港湾校区关于党风廉政建设的要求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关于疫情期间志愿者招募事宜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疫情防控及其他开学工作准备事宜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讨论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合照</w:t>
      </w:r>
    </w:p>
    <w:p>
      <w:pPr>
        <w:widowControl w:val="0"/>
        <w:numPr>
          <w:numId w:val="0"/>
        </w:numPr>
        <w:ind w:leftChars="0"/>
        <w:jc w:val="both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5266690" cy="3511550"/>
            <wp:effectExtent l="0" t="0" r="6350" b="8890"/>
            <wp:docPr id="1" name="图片 1" descr="0242349c81c5e936523d50e35a71a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42349c81c5e936523d50e35a71a7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DA1D8A"/>
    <w:multiLevelType w:val="singleLevel"/>
    <w:tmpl w:val="8CDA1D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689BEB3"/>
    <w:multiLevelType w:val="singleLevel"/>
    <w:tmpl w:val="5689BE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05C55"/>
    <w:rsid w:val="2090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2020-04-22T02:55:00Z</dcterms:created>
  <dc:creator>user</dc:creator>
  <cp:lastModifiedBy>user</cp:lastModifiedBy>
  <dcterms:modified xsi:type="dcterms:W3CDTF">2020-04-22T03:05:42Z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