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rPr>
          <w:sz w:val="24"/>
        </w:rPr>
      </w:pPr>
      <w:r>
        <w:rPr>
          <w:rFonts w:hint="eastAsia"/>
        </w:rPr>
        <w:t xml:space="preserve">                                                                  </w:t>
      </w:r>
      <w:r>
        <w:rPr>
          <w:sz w:val="24"/>
        </w:rPr>
        <w:t xml:space="preserve"> </w:t>
      </w:r>
    </w:p>
    <w:p>
      <w:pPr>
        <w:pStyle w:val="4"/>
        <w:spacing w:line="415" w:lineRule="auto"/>
        <w:jc w:val="center"/>
      </w:pPr>
      <w:r>
        <w:rPr>
          <w:rFonts w:hint="eastAsia"/>
        </w:rPr>
        <w:t>中共上海海事大学高等技术学院、继续教育学院、港湾学校委员会2019年工作要点</w:t>
      </w:r>
      <w:bookmarkStart w:id="0" w:name="_GoBack"/>
      <w:bookmarkEnd w:id="0"/>
    </w:p>
    <w:p>
      <w:pPr>
        <w:spacing w:line="360" w:lineRule="auto"/>
        <w:ind w:firstLine="700" w:firstLineChars="250"/>
        <w:jc w:val="left"/>
        <w:rPr>
          <w:rFonts w:ascii="宋体" w:hAnsi="宋体"/>
          <w:color w:val="000000"/>
          <w:sz w:val="28"/>
          <w:szCs w:val="28"/>
        </w:rPr>
      </w:pPr>
      <w:r>
        <w:rPr>
          <w:rFonts w:hint="eastAsia" w:ascii="宋体" w:hAnsi="宋体"/>
          <w:color w:val="000000"/>
          <w:sz w:val="28"/>
          <w:szCs w:val="28"/>
        </w:rPr>
        <w:t>2019年上海海事大学高等技术学院、继续教育学院、港湾学校党委（以下简称“港湾校区党委”）总体工作思路是：以习近平新时代中国特色社会主义思想为指导，认真贯彻习近平总书记关于高校党的建设和思想政治工作的重要论述和全国教育大会精神，全面落实海事大学党委决策部署，以提高职业教育及继续教育的办学质量为核心导向，切实发挥好党政分工合作、协调运行的议事决策工作机制，聚焦教育改革发展中的难点，激发活力，推进2019年港湾校区各项重点工作开展，以优异成绩庆祝新中国成立70周年。</w:t>
      </w:r>
    </w:p>
    <w:p>
      <w:pPr>
        <w:pStyle w:val="4"/>
        <w:numPr>
          <w:ilvl w:val="0"/>
          <w:numId w:val="1"/>
        </w:numPr>
        <w:rPr>
          <w:sz w:val="28"/>
          <w:szCs w:val="28"/>
        </w:rPr>
      </w:pPr>
      <w:r>
        <w:rPr>
          <w:rFonts w:hint="eastAsia"/>
          <w:sz w:val="28"/>
          <w:szCs w:val="28"/>
        </w:rPr>
        <w:t>持续推进“两学一做”，落实“三大主体责任”</w:t>
      </w:r>
    </w:p>
    <w:p>
      <w:pPr>
        <w:ind w:firstLine="420"/>
        <w:rPr>
          <w:sz w:val="28"/>
          <w:szCs w:val="28"/>
        </w:rPr>
      </w:pPr>
      <w:r>
        <w:rPr>
          <w:rFonts w:hint="eastAsia"/>
          <w:b/>
          <w:bCs/>
          <w:sz w:val="28"/>
          <w:szCs w:val="28"/>
        </w:rPr>
        <w:t>1、提高政治站位，切实加强理论学习。</w:t>
      </w:r>
      <w:r>
        <w:rPr>
          <w:rFonts w:hint="eastAsia"/>
          <w:sz w:val="28"/>
          <w:szCs w:val="28"/>
        </w:rPr>
        <w:t>把习近平新时代中国特色社会主义思想、《中国共产党基层组织工作条例》等作为重要内容，持续推进“两学一做”工作常态化、制度化，</w:t>
      </w:r>
      <w:r>
        <w:rPr>
          <w:rFonts w:hint="eastAsia" w:asciiTheme="minorEastAsia" w:hAnsiTheme="minorEastAsia" w:eastAsiaTheme="minorEastAsia"/>
          <w:sz w:val="28"/>
          <w:szCs w:val="28"/>
        </w:rPr>
        <w:t>组织好每月党员的政治理论学习。通过教职工网上在线学习、开展辅导报告、专题图片布展、交流讨论等多种形式，</w:t>
      </w:r>
      <w:r>
        <w:rPr>
          <w:rFonts w:hint="eastAsia"/>
          <w:sz w:val="28"/>
          <w:szCs w:val="28"/>
        </w:rPr>
        <w:t>教育引导广大党员牢固树立“四个意识”，坚定“四个自信”，做到“两个维护”，努力争做“合格党员”。根据党支部实际情况，做好分层次学习安排，主要采取个人自学、集中学习和组织研讨等方式，做到学以致用，学用结合，知行合一。</w:t>
      </w:r>
    </w:p>
    <w:p>
      <w:pPr>
        <w:spacing w:line="360" w:lineRule="auto"/>
        <w:ind w:firstLine="568" w:firstLineChars="202"/>
        <w:jc w:val="left"/>
        <w:rPr>
          <w:sz w:val="28"/>
          <w:szCs w:val="28"/>
        </w:rPr>
      </w:pPr>
      <w:r>
        <w:rPr>
          <w:rFonts w:hint="eastAsia"/>
          <w:b/>
          <w:bCs/>
          <w:sz w:val="28"/>
          <w:szCs w:val="28"/>
        </w:rPr>
        <w:t>2、加强思想政治工作，落实意识形态工作责任制。</w:t>
      </w:r>
      <w:r>
        <w:rPr>
          <w:rFonts w:hint="eastAsia"/>
          <w:sz w:val="28"/>
          <w:szCs w:val="28"/>
        </w:rPr>
        <w:t>深入学习贯彻习近平新时代中国特色社会主义思想和党的十九大精神,进一步贯彻落实全国高校思想政治工作座谈会精神，加强和改进思想政治理论课。按照《中共上海海事大学港湾校区委员会意识形态工作责任制实施办法》要求，严格落实意识形态工作责任制和网络意识形态工作责任制，加强教职工意识形态责任制教育，守住课堂教学意识形态安全底线和红线。推进“三全育人”建设，加强学生理想信念教育，培育和践行社会主义核心价值观，重视校园网络意识形态，牢牢把握主导权。按照校园信息发布流程，加强信息内容的审核。</w:t>
      </w:r>
    </w:p>
    <w:p>
      <w:pPr>
        <w:spacing w:line="360" w:lineRule="auto"/>
        <w:ind w:firstLine="420"/>
        <w:jc w:val="left"/>
        <w:rPr>
          <w:sz w:val="28"/>
          <w:szCs w:val="28"/>
        </w:rPr>
      </w:pPr>
      <w:r>
        <w:rPr>
          <w:rStyle w:val="13"/>
          <w:rFonts w:hint="eastAsia" w:ascii="楷体" w:hAnsi="楷体" w:eastAsia="楷体"/>
          <w:color w:val="000000"/>
          <w:sz w:val="32"/>
          <w:szCs w:val="32"/>
        </w:rPr>
        <w:t>3、</w:t>
      </w:r>
      <w:r>
        <w:rPr>
          <w:rFonts w:hint="eastAsia"/>
          <w:b/>
          <w:bCs/>
          <w:sz w:val="28"/>
          <w:szCs w:val="28"/>
        </w:rPr>
        <w:t>深入落实党建工作责任制，增强党支部工作活动</w:t>
      </w:r>
      <w:r>
        <w:rPr>
          <w:rStyle w:val="13"/>
          <w:rFonts w:hint="eastAsia" w:ascii="楷体" w:hAnsi="楷体" w:eastAsia="楷体"/>
          <w:color w:val="000000"/>
          <w:sz w:val="32"/>
          <w:szCs w:val="32"/>
        </w:rPr>
        <w:t>。</w:t>
      </w:r>
      <w:r>
        <w:rPr>
          <w:rFonts w:hint="eastAsia"/>
          <w:sz w:val="28"/>
          <w:szCs w:val="28"/>
        </w:rPr>
        <w:t>深入学习贯彻《中共上海市委关于以组织体系建设为重点推进新时代基层党建高质量创新发展的意见》、《关于加强高校院（系）党的建设工作的意见（试行）》的通知》等文件的精神要求，落实全面从严治党主体责任和党建工作责任制，</w:t>
      </w:r>
      <w:r>
        <w:rPr>
          <w:rFonts w:hint="eastAsia" w:ascii="宋体" w:hAnsi="宋体" w:cs="仿宋"/>
          <w:sz w:val="28"/>
          <w:szCs w:val="28"/>
        </w:rPr>
        <w:t>明确党建工作责任制分工，</w:t>
      </w:r>
      <w:r>
        <w:rPr>
          <w:rFonts w:hint="eastAsia"/>
          <w:sz w:val="28"/>
          <w:szCs w:val="28"/>
        </w:rPr>
        <w:t>规范开展党员专题民主评议和主题党日活动，推动指导支部开展特色活动创建，</w:t>
      </w:r>
      <w:r>
        <w:rPr>
          <w:rFonts w:hint="eastAsia" w:ascii="宋体" w:hAnsi="宋体" w:cs="仿宋"/>
          <w:sz w:val="28"/>
          <w:szCs w:val="28"/>
        </w:rPr>
        <w:t>不断增强各级党组织的创造力、凝聚力和战斗力。</w:t>
      </w:r>
    </w:p>
    <w:p>
      <w:pPr>
        <w:spacing w:line="360" w:lineRule="auto"/>
        <w:ind w:firstLine="568" w:firstLineChars="202"/>
        <w:jc w:val="left"/>
        <w:rPr>
          <w:sz w:val="28"/>
          <w:szCs w:val="28"/>
        </w:rPr>
      </w:pPr>
      <w:r>
        <w:rPr>
          <w:rFonts w:hint="eastAsia"/>
          <w:b/>
          <w:sz w:val="28"/>
          <w:szCs w:val="28"/>
        </w:rPr>
        <w:t>4、落实“四责”协同机制，推进党风廉政建设。</w:t>
      </w:r>
      <w:r>
        <w:rPr>
          <w:rFonts w:hint="eastAsia"/>
          <w:sz w:val="28"/>
          <w:szCs w:val="28"/>
        </w:rPr>
        <w:t>加强廉政风险防控和制度执行，落实党风廉政建设责任制和“四书四会三报告”制度，持续抓好中央八项规定精神落实，在2019年岗位聘任时与部门长签订廉政建设责任书。完善落实各项管理制度，发挥纪委的执纪监督问责作用，加强对资产、科研、基建等重点领域和经费使用等关键环节的监督和建设项目的过程管理。</w:t>
      </w:r>
    </w:p>
    <w:p>
      <w:pPr>
        <w:pStyle w:val="4"/>
        <w:rPr>
          <w:sz w:val="28"/>
          <w:szCs w:val="28"/>
        </w:rPr>
      </w:pPr>
      <w:r>
        <w:rPr>
          <w:rFonts w:hint="eastAsia"/>
          <w:sz w:val="28"/>
          <w:szCs w:val="28"/>
        </w:rPr>
        <w:t>二、聚焦教育改革核心，推进校区各项重点工作开展</w:t>
      </w:r>
    </w:p>
    <w:p>
      <w:pPr>
        <w:spacing w:line="360" w:lineRule="auto"/>
        <w:ind w:firstLine="565" w:firstLineChars="202"/>
        <w:jc w:val="left"/>
        <w:rPr>
          <w:sz w:val="28"/>
          <w:szCs w:val="28"/>
        </w:rPr>
      </w:pPr>
      <w:r>
        <w:rPr>
          <w:rFonts w:hint="eastAsia"/>
          <w:sz w:val="28"/>
          <w:szCs w:val="28"/>
        </w:rPr>
        <w:t>1</w:t>
      </w:r>
      <w:r>
        <w:rPr>
          <w:rFonts w:hint="eastAsia"/>
          <w:b/>
          <w:sz w:val="28"/>
          <w:szCs w:val="28"/>
        </w:rPr>
        <w:t>、加强巡视整改工作</w:t>
      </w:r>
      <w:r>
        <w:rPr>
          <w:rFonts w:hint="eastAsia"/>
          <w:sz w:val="28"/>
          <w:szCs w:val="28"/>
        </w:rPr>
        <w:t>。深刻剖析巡视中发现的问题，深挖问题根源，制定整改措施，扎实做好巡视整改工作，确保问题见底、整改到位、取得实效。</w:t>
      </w:r>
    </w:p>
    <w:p>
      <w:pPr>
        <w:spacing w:line="360" w:lineRule="auto"/>
        <w:ind w:firstLine="565" w:firstLineChars="202"/>
        <w:jc w:val="left"/>
        <w:rPr>
          <w:sz w:val="28"/>
          <w:szCs w:val="28"/>
        </w:rPr>
      </w:pPr>
      <w:r>
        <w:rPr>
          <w:rFonts w:hint="eastAsia"/>
          <w:sz w:val="28"/>
          <w:szCs w:val="28"/>
        </w:rPr>
        <w:t>2、</w:t>
      </w:r>
      <w:r>
        <w:rPr>
          <w:rFonts w:hint="eastAsia"/>
          <w:b/>
          <w:sz w:val="28"/>
          <w:szCs w:val="28"/>
        </w:rPr>
        <w:t>继续推进中高职贯通工作</w:t>
      </w:r>
      <w:r>
        <w:rPr>
          <w:rFonts w:hint="eastAsia"/>
          <w:sz w:val="28"/>
          <w:szCs w:val="28"/>
        </w:rPr>
        <w:t>。组织联合教研活动，更好的沟通中高职教学的贯通培养需要，及时总结，反馈、改进培养计划，使其更符合贯通培养目标。瞄准上海国际航运中心、自贸区的建设及其对相关产业的辐射，继续推进中高贯通,并以此为导向，加大对学生专业素养等方面的教学内容，促进学生在校期间职业素养、安全理念等方面的养成。</w:t>
      </w:r>
    </w:p>
    <w:p>
      <w:pPr>
        <w:spacing w:line="360" w:lineRule="auto"/>
        <w:ind w:firstLine="565" w:firstLineChars="202"/>
        <w:jc w:val="left"/>
        <w:rPr>
          <w:sz w:val="28"/>
          <w:szCs w:val="28"/>
        </w:rPr>
      </w:pPr>
      <w:r>
        <w:rPr>
          <w:rFonts w:hint="eastAsia"/>
          <w:sz w:val="28"/>
          <w:szCs w:val="28"/>
        </w:rPr>
        <w:t>3、</w:t>
      </w:r>
      <w:r>
        <w:rPr>
          <w:rFonts w:hint="eastAsia"/>
          <w:b/>
          <w:sz w:val="28"/>
          <w:szCs w:val="28"/>
        </w:rPr>
        <w:t>拓展继续教育和培训市场。</w:t>
      </w:r>
      <w:r>
        <w:rPr>
          <w:rFonts w:hint="eastAsia"/>
          <w:sz w:val="28"/>
          <w:szCs w:val="28"/>
        </w:rPr>
        <w:t>主动服务国家航运强国发展战略和区域经济发展需求，拓展招生渠道，努力争取外地生源，保证传统培训项目的平稳发展。稳定现有培训项目的规模，通过各种途径拓展更多的合作单位。寻找商机，与港航企事业单位合作，开发多方位的品牌培训项目；瞄准一带一路的发展方向，争取开发新的增长点项目。进一步拓展海乘专业的发展空间。进一步提高夜大教育的教学效果和质量。</w:t>
      </w:r>
    </w:p>
    <w:p>
      <w:pPr>
        <w:spacing w:line="360" w:lineRule="auto"/>
        <w:ind w:firstLine="565" w:firstLineChars="202"/>
        <w:jc w:val="left"/>
        <w:rPr>
          <w:sz w:val="28"/>
          <w:szCs w:val="28"/>
        </w:rPr>
      </w:pPr>
      <w:r>
        <w:rPr>
          <w:rFonts w:hint="eastAsia"/>
          <w:sz w:val="28"/>
          <w:szCs w:val="28"/>
        </w:rPr>
        <w:t>4、</w:t>
      </w:r>
      <w:r>
        <w:rPr>
          <w:rFonts w:hint="eastAsia"/>
          <w:b/>
          <w:sz w:val="28"/>
          <w:szCs w:val="28"/>
        </w:rPr>
        <w:t>优化岗位设置</w:t>
      </w:r>
      <w:r>
        <w:rPr>
          <w:rFonts w:hint="eastAsia"/>
          <w:sz w:val="28"/>
          <w:szCs w:val="28"/>
        </w:rPr>
        <w:t>。根据校区办学需要，结合岗位聘任，根据校区当前人员现状，进一步优化岗位设置，梳理岗位职责，认真、有序、平稳地组织好新一轮岗位聘任工作。充分发挥人力资源的能力，调动教职工工作活力，提升整体工作效能。</w:t>
      </w:r>
    </w:p>
    <w:p>
      <w:pPr>
        <w:spacing w:line="360" w:lineRule="auto"/>
        <w:ind w:firstLine="565" w:firstLineChars="202"/>
        <w:jc w:val="left"/>
        <w:rPr>
          <w:sz w:val="28"/>
          <w:szCs w:val="28"/>
        </w:rPr>
      </w:pPr>
      <w:r>
        <w:rPr>
          <w:rFonts w:hint="eastAsia"/>
          <w:sz w:val="28"/>
          <w:szCs w:val="28"/>
        </w:rPr>
        <w:t>5、</w:t>
      </w:r>
      <w:r>
        <w:rPr>
          <w:rFonts w:hint="eastAsia"/>
          <w:b/>
          <w:sz w:val="28"/>
          <w:szCs w:val="28"/>
        </w:rPr>
        <w:t>推动内涵项目建设。</w:t>
      </w:r>
      <w:r>
        <w:rPr>
          <w:rFonts w:hint="eastAsia"/>
          <w:sz w:val="28"/>
          <w:szCs w:val="28"/>
        </w:rPr>
        <w:t>根据学校的实际发展需要，依据《港湾校区项目管理实施细则》，依据项目实施计划，有序、规范推进学校内涵建设各项工作。规范校区项目建设程序，科学设定绩效目标，有序推进绩效管理。</w:t>
      </w:r>
    </w:p>
    <w:p>
      <w:pPr>
        <w:spacing w:line="360" w:lineRule="auto"/>
        <w:ind w:firstLine="568" w:firstLineChars="202"/>
        <w:jc w:val="left"/>
        <w:rPr>
          <w:sz w:val="28"/>
          <w:szCs w:val="28"/>
        </w:rPr>
      </w:pPr>
      <w:r>
        <w:rPr>
          <w:rFonts w:hint="eastAsia"/>
          <w:b/>
          <w:sz w:val="28"/>
          <w:szCs w:val="28"/>
        </w:rPr>
        <w:t>6、推进教学诊断与改进</w:t>
      </w:r>
      <w:r>
        <w:rPr>
          <w:rFonts w:hint="eastAsia"/>
          <w:sz w:val="28"/>
          <w:szCs w:val="28"/>
        </w:rPr>
        <w:t>。通过诊改促建设和诊改建设相结合的工作方法，推动学校人才培养模式创新和人才培养质量提高。确保办学条件完备，教学管理规范，制度运行高效，建设保障有力。</w:t>
      </w:r>
    </w:p>
    <w:p>
      <w:pPr>
        <w:pStyle w:val="4"/>
        <w:rPr>
          <w:sz w:val="28"/>
          <w:szCs w:val="28"/>
        </w:rPr>
      </w:pPr>
      <w:r>
        <w:rPr>
          <w:rFonts w:hint="eastAsia"/>
          <w:sz w:val="28"/>
          <w:szCs w:val="28"/>
        </w:rPr>
        <w:t>三、加强校区精神文明建设，构建和谐校园</w:t>
      </w:r>
    </w:p>
    <w:p>
      <w:pPr>
        <w:spacing w:line="360" w:lineRule="auto"/>
        <w:ind w:firstLine="568" w:firstLineChars="202"/>
        <w:jc w:val="left"/>
        <w:rPr>
          <w:sz w:val="28"/>
          <w:szCs w:val="28"/>
        </w:rPr>
      </w:pPr>
      <w:r>
        <w:rPr>
          <w:rFonts w:hint="eastAsia"/>
          <w:b/>
          <w:sz w:val="28"/>
          <w:szCs w:val="28"/>
        </w:rPr>
        <w:t>1、校园安全稳定工作。</w:t>
      </w:r>
      <w:r>
        <w:rPr>
          <w:rFonts w:hint="eastAsia"/>
          <w:sz w:val="28"/>
          <w:szCs w:val="28"/>
        </w:rPr>
        <w:t>继续做好校园安全稳定工作，持续健全安全防范体系。加大校园各类安全隐患排查力度，加强校园周边环境的安全检测与管理。健全危机干预机制，增进师生身心健康。全面提升突发事件应急处置能力，有效应对和处置各类突发事件。加强网络舆情分析研究,完善舆情处置机制和信息沟通机制。</w:t>
      </w:r>
    </w:p>
    <w:p>
      <w:pPr>
        <w:spacing w:line="360" w:lineRule="auto"/>
        <w:ind w:firstLine="568" w:firstLineChars="202"/>
        <w:jc w:val="left"/>
        <w:rPr>
          <w:sz w:val="28"/>
          <w:szCs w:val="28"/>
        </w:rPr>
      </w:pPr>
      <w:r>
        <w:rPr>
          <w:rFonts w:hint="eastAsia"/>
          <w:b/>
          <w:sz w:val="28"/>
          <w:szCs w:val="28"/>
        </w:rPr>
        <w:t>2、文明校园创建工作。</w:t>
      </w:r>
      <w:r>
        <w:rPr>
          <w:rFonts w:hint="eastAsia"/>
          <w:sz w:val="28"/>
          <w:szCs w:val="28"/>
        </w:rPr>
        <w:t>总结文明校园创建经验，在2018年创建上海市文明校园工作基础上，抓住契机，以评促建，健全工作机制，进一步提高师生文明修养，提高校园文化生活质量，使校园文化内容健康、格调高雅、丰富多彩，提高校园文明程度，使校园秩序良好、环境优美，育人环境进一步改善。</w:t>
      </w:r>
    </w:p>
    <w:p>
      <w:pPr>
        <w:spacing w:line="360" w:lineRule="auto"/>
        <w:ind w:firstLine="568" w:firstLineChars="202"/>
        <w:jc w:val="left"/>
        <w:rPr>
          <w:sz w:val="28"/>
          <w:szCs w:val="28"/>
        </w:rPr>
      </w:pPr>
      <w:r>
        <w:rPr>
          <w:rFonts w:hint="eastAsia"/>
          <w:b/>
          <w:sz w:val="28"/>
          <w:szCs w:val="28"/>
        </w:rPr>
        <w:t>3、校园基础设施改造工作。</w:t>
      </w:r>
      <w:r>
        <w:rPr>
          <w:rFonts w:hint="eastAsia"/>
          <w:sz w:val="28"/>
          <w:szCs w:val="28"/>
        </w:rPr>
        <w:t xml:space="preserve">以建设“美丽校园”、“生态校园”为目标，利用教委专项经费，提前筹划教学楼改造及食堂改造项目，为学生提供更加舒适、温馨的学习环境；稳步推进垃圾分类工作。 </w:t>
      </w:r>
    </w:p>
    <w:p>
      <w:pPr>
        <w:spacing w:line="360" w:lineRule="auto"/>
        <w:ind w:firstLine="568" w:firstLineChars="202"/>
        <w:jc w:val="left"/>
        <w:rPr>
          <w:rFonts w:asciiTheme="minorEastAsia" w:hAnsiTheme="minorEastAsia" w:eastAsiaTheme="minorEastAsia"/>
          <w:sz w:val="28"/>
          <w:szCs w:val="28"/>
        </w:rPr>
      </w:pPr>
      <w:r>
        <w:rPr>
          <w:rFonts w:hint="eastAsia"/>
          <w:b/>
          <w:sz w:val="28"/>
          <w:szCs w:val="28"/>
        </w:rPr>
        <w:t>4、校园文化建设工作。</w:t>
      </w:r>
      <w:r>
        <w:rPr>
          <w:rFonts w:hint="eastAsia"/>
          <w:sz w:val="28"/>
          <w:szCs w:val="28"/>
        </w:rPr>
        <w:t>结合校庆活动，开展“工匠精神进校园”系列论坛，促进产业文化和优秀企业文化进校园、进课堂，着力培养学生的职业理想与职业精神。开展校区各类先进的宣传活动，重视各类评奖评优工作，弘扬先进，树立正面典型，形成正向激励。通过身边的典型事迹激励广大教职工。</w:t>
      </w:r>
      <w:r>
        <w:rPr>
          <w:rFonts w:hint="eastAsia" w:asciiTheme="minorEastAsia" w:hAnsiTheme="minorEastAsia" w:eastAsiaTheme="minorEastAsia"/>
          <w:sz w:val="28"/>
          <w:szCs w:val="28"/>
        </w:rPr>
        <w:t>加强社团建设，深化典型引领的育人功能，不断探索理论学习的新途径。通过各种丰富多彩、喜闻乐见的社团活动，提高“三全育人”的实效性和针对性。</w:t>
      </w:r>
    </w:p>
    <w:p>
      <w:pPr>
        <w:spacing w:line="360" w:lineRule="auto"/>
        <w:ind w:firstLine="568" w:firstLineChars="202"/>
        <w:jc w:val="left"/>
        <w:rPr>
          <w:sz w:val="28"/>
          <w:szCs w:val="28"/>
        </w:rPr>
      </w:pPr>
      <w:r>
        <w:rPr>
          <w:rFonts w:hint="eastAsia"/>
          <w:b/>
          <w:sz w:val="28"/>
          <w:szCs w:val="28"/>
        </w:rPr>
        <w:t>5、校庆工作。</w:t>
      </w:r>
      <w:r>
        <w:rPr>
          <w:rFonts w:hint="eastAsia"/>
          <w:sz w:val="28"/>
          <w:szCs w:val="28"/>
        </w:rPr>
        <w:t>在总校指导下，组织好校区各项筹备工作，并策划开展校庆系列活动，校庆组织有序，有较强的社会影响力。</w:t>
      </w:r>
    </w:p>
    <w:p>
      <w:pPr>
        <w:pStyle w:val="4"/>
        <w:rPr>
          <w:sz w:val="28"/>
          <w:szCs w:val="28"/>
        </w:rPr>
      </w:pPr>
      <w:r>
        <w:rPr>
          <w:rFonts w:hint="eastAsia"/>
          <w:sz w:val="28"/>
          <w:szCs w:val="28"/>
        </w:rPr>
        <w:t>四、关心工青妇等工作，增强凝聚力工程实效</w:t>
      </w:r>
    </w:p>
    <w:p>
      <w:pPr>
        <w:spacing w:line="440" w:lineRule="atLeas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1、</w:t>
      </w:r>
      <w:r>
        <w:rPr>
          <w:rFonts w:hint="eastAsia" w:asciiTheme="minorEastAsia" w:hAnsiTheme="minorEastAsia" w:eastAsiaTheme="minorEastAsia"/>
          <w:b/>
          <w:sz w:val="28"/>
          <w:szCs w:val="28"/>
        </w:rPr>
        <w:t>工青妇工作</w:t>
      </w:r>
      <w:r>
        <w:rPr>
          <w:rFonts w:hint="eastAsia" w:asciiTheme="minorEastAsia" w:hAnsiTheme="minorEastAsia" w:eastAsiaTheme="minorEastAsia"/>
          <w:sz w:val="28"/>
          <w:szCs w:val="28"/>
        </w:rPr>
        <w:t>。支持工会、妇委会独立开展工作，参与校务公开工作，通过他们听取来自教职工的意见和诉求，改进学校的工作。根据学生平均年龄差异较大的特点，加强共青团的建设，加强工作研究，发挥共青团在学生思想政治教育的积极作用。</w:t>
      </w:r>
    </w:p>
    <w:p>
      <w:pPr>
        <w:spacing w:line="440" w:lineRule="atLeast"/>
        <w:ind w:firstLine="560" w:firstLineChars="200"/>
        <w:rPr>
          <w:rFonts w:asciiTheme="minorEastAsia" w:hAnsiTheme="minorEastAsia" w:eastAsiaTheme="minorEastAsia"/>
          <w:sz w:val="28"/>
          <w:szCs w:val="28"/>
        </w:rPr>
      </w:pPr>
      <w:r>
        <w:rPr>
          <w:rFonts w:hint="eastAsia" w:asciiTheme="minorEastAsia" w:hAnsiTheme="minorEastAsia" w:eastAsiaTheme="minorEastAsia"/>
          <w:sz w:val="28"/>
          <w:szCs w:val="28"/>
        </w:rPr>
        <w:t>2、</w:t>
      </w:r>
      <w:r>
        <w:rPr>
          <w:rFonts w:hint="eastAsia" w:asciiTheme="minorEastAsia" w:hAnsiTheme="minorEastAsia" w:eastAsiaTheme="minorEastAsia"/>
          <w:b/>
          <w:sz w:val="28"/>
          <w:szCs w:val="28"/>
        </w:rPr>
        <w:t>关工委工作</w:t>
      </w:r>
      <w:r>
        <w:rPr>
          <w:rFonts w:hint="eastAsia" w:asciiTheme="minorEastAsia" w:hAnsiTheme="minorEastAsia" w:eastAsiaTheme="minorEastAsia"/>
          <w:sz w:val="28"/>
          <w:szCs w:val="28"/>
        </w:rPr>
        <w:t>。加强港湾校区关心下一代工作委员会建设，进一步发挥好老同志在教育事业改革发展及港湾校区党建工作中的优势和积极作用。</w:t>
      </w:r>
      <w:r>
        <w:rPr>
          <w:rFonts w:hint="eastAsia"/>
          <w:sz w:val="28"/>
          <w:szCs w:val="28"/>
        </w:rPr>
        <w:t>充分发挥“五老”优势，在青年一代的健康成长中发挥积极作用。</w:t>
      </w:r>
    </w:p>
    <w:p>
      <w:pPr>
        <w:spacing w:line="440" w:lineRule="atLeast"/>
        <w:ind w:firstLine="562" w:firstLineChars="200"/>
        <w:rPr>
          <w:sz w:val="28"/>
          <w:szCs w:val="28"/>
        </w:rPr>
      </w:pPr>
      <w:r>
        <w:rPr>
          <w:rFonts w:hint="eastAsia" w:asciiTheme="minorEastAsia" w:hAnsiTheme="minorEastAsia" w:eastAsiaTheme="minorEastAsia"/>
          <w:b/>
          <w:sz w:val="28"/>
          <w:szCs w:val="28"/>
        </w:rPr>
        <w:t>3、离退休工作</w:t>
      </w:r>
      <w:r>
        <w:rPr>
          <w:rFonts w:hint="eastAsia" w:asciiTheme="minorEastAsia" w:hAnsiTheme="minorEastAsia" w:eastAsiaTheme="minorEastAsia"/>
          <w:sz w:val="28"/>
          <w:szCs w:val="28"/>
        </w:rPr>
        <w:t>。</w:t>
      </w:r>
      <w:r>
        <w:rPr>
          <w:rFonts w:hint="eastAsia"/>
          <w:sz w:val="28"/>
          <w:szCs w:val="28"/>
        </w:rPr>
        <w:t>认真做好离退休工作，关心离退休教职工的生活和身体健康状况，做好帮困、“送清凉”、“送温暖”和“回娘家”工作，让离退休老同志感受到学校的温暖。</w:t>
      </w:r>
      <w:r>
        <w:rPr>
          <w:sz w:val="28"/>
          <w:szCs w:val="28"/>
        </w:rPr>
        <w:t xml:space="preserve"> </w:t>
      </w:r>
    </w:p>
    <w:p>
      <w:pPr>
        <w:snapToGrid w:val="0"/>
        <w:spacing w:line="500" w:lineRule="atLeast"/>
        <w:jc w:val="center"/>
        <w:rPr>
          <w:sz w:val="28"/>
          <w:szCs w:val="28"/>
        </w:rPr>
      </w:pPr>
      <w:r>
        <w:rPr>
          <w:rFonts w:hint="eastAsia"/>
          <w:b/>
          <w:szCs w:val="21"/>
        </w:rPr>
        <w:t xml:space="preserve">                   </w:t>
      </w:r>
    </w:p>
    <w:p>
      <w:pPr>
        <w:snapToGrid w:val="0"/>
        <w:spacing w:line="500" w:lineRule="atLeast"/>
        <w:jc w:val="center"/>
        <w:rPr>
          <w:rFonts w:hint="eastAsia"/>
          <w:sz w:val="28"/>
          <w:szCs w:val="28"/>
        </w:rPr>
      </w:pPr>
    </w:p>
    <w:p>
      <w:pPr>
        <w:snapToGrid w:val="0"/>
        <w:spacing w:line="500" w:lineRule="atLeast"/>
        <w:jc w:val="center"/>
        <w:rPr>
          <w:rFonts w:ascii="宋体" w:hAnsi="宋体"/>
          <w:color w:val="000000"/>
          <w:sz w:val="28"/>
          <w:szCs w:val="28"/>
        </w:rPr>
      </w:pPr>
      <w:r>
        <w:rPr>
          <w:rFonts w:hint="eastAsia"/>
          <w:sz w:val="28"/>
          <w:szCs w:val="28"/>
        </w:rPr>
        <w:t>中共上海海事大学</w:t>
      </w:r>
      <w:r>
        <w:rPr>
          <w:rFonts w:hint="eastAsia" w:ascii="宋体" w:hAnsi="宋体"/>
          <w:color w:val="000000"/>
          <w:sz w:val="28"/>
          <w:szCs w:val="28"/>
        </w:rPr>
        <w:t>高等技术学院、继续教育学院、港湾学校委员会</w:t>
      </w:r>
    </w:p>
    <w:p>
      <w:pPr>
        <w:snapToGrid w:val="0"/>
        <w:spacing w:line="500" w:lineRule="atLeast"/>
        <w:ind w:firstLine="4900" w:firstLineChars="1750"/>
        <w:rPr>
          <w:sz w:val="28"/>
          <w:szCs w:val="28"/>
        </w:rPr>
      </w:pPr>
      <w:r>
        <w:rPr>
          <w:rFonts w:hint="eastAsia"/>
          <w:sz w:val="28"/>
          <w:szCs w:val="28"/>
        </w:rPr>
        <w:t>201</w:t>
      </w:r>
      <w:r>
        <w:rPr>
          <w:rFonts w:hint="eastAsia"/>
          <w:sz w:val="28"/>
          <w:szCs w:val="28"/>
          <w:lang w:val="en-US" w:eastAsia="zh-CN"/>
        </w:rPr>
        <w:t>9</w:t>
      </w:r>
      <w:r>
        <w:rPr>
          <w:rFonts w:hint="eastAsia"/>
          <w:sz w:val="28"/>
          <w:szCs w:val="28"/>
        </w:rPr>
        <w:t>年3月</w:t>
      </w:r>
      <w:r>
        <w:rPr>
          <w:rFonts w:hint="eastAsia"/>
          <w:sz w:val="28"/>
          <w:szCs w:val="28"/>
          <w:lang w:val="en-US" w:eastAsia="zh-CN"/>
        </w:rPr>
        <w:t>1</w:t>
      </w:r>
      <w:r>
        <w:rPr>
          <w:rFonts w:hint="eastAsia"/>
          <w:sz w:val="28"/>
          <w:szCs w:val="28"/>
        </w:rPr>
        <w:t>日</w:t>
      </w:r>
    </w:p>
    <w:p>
      <w:pPr>
        <w:rPr>
          <w:rFonts w:ascii="仿宋" w:hAnsi="仿宋" w:eastAsia="仿宋"/>
          <w:sz w:val="28"/>
          <w:szCs w:val="28"/>
        </w:rPr>
      </w:pPr>
    </w:p>
    <w:sectPr>
      <w:headerReference r:id="rId3" w:type="first"/>
      <w:pgSz w:w="11906" w:h="16838"/>
      <w:pgMar w:top="1440" w:right="1800" w:bottom="1440" w:left="180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jc w:val="center"/>
      <w:rPr>
        <w:rFonts w:ascii="楷体_GB2312" w:eastAsia="楷体_GB2312"/>
        <w:color w:val="FF0000"/>
        <w:sz w:val="52"/>
        <w:szCs w:val="52"/>
      </w:rPr>
    </w:pPr>
    <w:r>
      <w:rPr>
        <w:sz w:val="28"/>
        <w:szCs w:val="28"/>
      </w:rPr>
      <w:pict>
        <v:shape id="_x0000_s1026" o:spid="_x0000_s1026" o:spt="136" type="#_x0000_t136" style="position:absolute;left:0pt;margin-left:389.25pt;margin-top:44.45pt;height:30pt;width:93.75pt;z-index:251661312;mso-width-relative:page;mso-height-relative:page;" fillcolor="#FF0000" filled="t" stroked="t" coordsize="21600,21600">
          <v:path/>
          <v:fill on="t" focussize="0,0"/>
          <v:stroke color="#FF0000"/>
          <v:imagedata o:title=""/>
          <o:lock v:ext="edit"/>
          <v:textpath on="t" fitshape="t" fitpath="t" trim="t" xscale="f" string="委员会" style="font-family:楷体_GB2312;font-size:36pt;v-text-align:center;"/>
        </v:shape>
      </w:pict>
    </w:r>
    <w:r>
      <w:pict>
        <v:shape id="_x0000_s1025" o:spid="_x0000_s1025" o:spt="136" type="#_x0000_t136" style="position:absolute;left:0pt;margin-left:-34.5pt;margin-top:44.45pt;height:30pt;width:62.25pt;z-index:251660288;mso-width-relative:page;mso-height-relative:page;" fillcolor="#FF0000" filled="t" stroked="t" coordsize="21600,21600">
          <v:path/>
          <v:fill on="t" focussize="0,0"/>
          <v:stroke color="#FF0000"/>
          <v:imagedata o:title=""/>
          <o:lock v:ext="edit"/>
          <v:textpath on="t" fitshape="t" fitpath="t" trim="t" xscale="f" string="中共" style="font-family:楷体_GB2312;font-size:36pt;v-text-align:center;"/>
        </v:shape>
      </w:pict>
    </w:r>
    <w:r>
      <w:rPr>
        <w:rFonts w:hint="eastAsia" w:ascii="楷体_GB2312" w:eastAsia="楷体_GB2312"/>
        <w:color w:val="FF0000"/>
        <w:sz w:val="52"/>
        <w:szCs w:val="52"/>
      </w:rPr>
      <w:t xml:space="preserve">  上海海事大学高等技术学院、</w:t>
    </w:r>
  </w:p>
  <w:p>
    <w:pPr>
      <w:pStyle w:val="2"/>
      <w:spacing w:line="240" w:lineRule="auto"/>
      <w:jc w:val="center"/>
      <w:rPr>
        <w:rFonts w:ascii="楷体_GB2312" w:eastAsia="楷体_GB2312"/>
        <w:color w:val="FF0000"/>
        <w:sz w:val="52"/>
        <w:szCs w:val="52"/>
      </w:rPr>
    </w:pPr>
    <w:r>
      <w:rPr>
        <w:rFonts w:hint="eastAsia" w:ascii="楷体_GB2312" w:eastAsia="楷体_GB2312"/>
        <w:color w:val="FF0000"/>
        <w:sz w:val="52"/>
        <w:szCs w:val="52"/>
      </w:rPr>
      <w:t>继续教育学院、港湾学校</w:t>
    </w:r>
  </w:p>
  <w:p>
    <w:pPr>
      <w:jc w:val="center"/>
      <w:rPr>
        <w:sz w:val="28"/>
        <w:szCs w:val="28"/>
      </w:rPr>
    </w:pPr>
    <w:r>
      <w:rPr>
        <w:rFonts w:hint="eastAsia"/>
        <w:sz w:val="28"/>
        <w:szCs w:val="28"/>
      </w:rPr>
      <w:t>沪海港院委字[201</w:t>
    </w:r>
    <w:r>
      <w:rPr>
        <w:rFonts w:hint="eastAsia"/>
        <w:sz w:val="28"/>
        <w:szCs w:val="28"/>
        <w:lang w:val="en-US" w:eastAsia="zh-CN"/>
      </w:rPr>
      <w:t>9</w:t>
    </w:r>
    <w:r>
      <w:rPr>
        <w:rFonts w:hint="eastAsia"/>
        <w:sz w:val="28"/>
        <w:szCs w:val="28"/>
      </w:rPr>
      <w:t>]第1号</w:t>
    </w:r>
  </w:p>
  <w:p>
    <w:pPr>
      <w:jc w:val="center"/>
      <w:rPr>
        <w:sz w:val="28"/>
        <w:szCs w:val="28"/>
      </w:rPr>
    </w:pPr>
  </w:p>
  <w:p>
    <w:pPr>
      <w:jc w:val="center"/>
      <w:rPr>
        <w:color w:val="FF0000"/>
        <w:sz w:val="28"/>
        <w:szCs w:val="28"/>
      </w:rPr>
    </w:pPr>
    <w:r>
      <w:rPr>
        <w:rFonts w:hint="eastAsia"/>
        <w:color w:val="FF0000"/>
        <w:sz w:val="28"/>
        <w:szCs w:val="2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D3672"/>
    <w:multiLevelType w:val="multilevel"/>
    <w:tmpl w:val="487D3672"/>
    <w:lvl w:ilvl="0" w:tentative="0">
      <w:start w:val="1"/>
      <w:numFmt w:val="japaneseCounting"/>
      <w:lvlText w:val="%1、"/>
      <w:lvlJc w:val="left"/>
      <w:pPr>
        <w:ind w:left="600" w:hanging="60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844409"/>
    <w:rsid w:val="00131079"/>
    <w:rsid w:val="001B5EC3"/>
    <w:rsid w:val="00220793"/>
    <w:rsid w:val="00346058"/>
    <w:rsid w:val="00471257"/>
    <w:rsid w:val="004877FB"/>
    <w:rsid w:val="0049176D"/>
    <w:rsid w:val="00556693"/>
    <w:rsid w:val="00557B55"/>
    <w:rsid w:val="006208D1"/>
    <w:rsid w:val="006B543A"/>
    <w:rsid w:val="0071391D"/>
    <w:rsid w:val="00716101"/>
    <w:rsid w:val="00750A4F"/>
    <w:rsid w:val="007C3D7C"/>
    <w:rsid w:val="00831C87"/>
    <w:rsid w:val="00844409"/>
    <w:rsid w:val="0089137B"/>
    <w:rsid w:val="00895517"/>
    <w:rsid w:val="008D3779"/>
    <w:rsid w:val="0097021C"/>
    <w:rsid w:val="009D5C37"/>
    <w:rsid w:val="00A26AAA"/>
    <w:rsid w:val="00A5379A"/>
    <w:rsid w:val="00AC2343"/>
    <w:rsid w:val="00B710BB"/>
    <w:rsid w:val="00B82427"/>
    <w:rsid w:val="00B91B80"/>
    <w:rsid w:val="00BA03A3"/>
    <w:rsid w:val="00BA2AE7"/>
    <w:rsid w:val="00C55D80"/>
    <w:rsid w:val="00C83CE7"/>
    <w:rsid w:val="00D171C6"/>
    <w:rsid w:val="00D50D17"/>
    <w:rsid w:val="00D52D3A"/>
    <w:rsid w:val="00E227C9"/>
    <w:rsid w:val="00E7347B"/>
    <w:rsid w:val="00ED75E8"/>
    <w:rsid w:val="00F2192F"/>
    <w:rsid w:val="00F35AA2"/>
    <w:rsid w:val="00F47CCC"/>
    <w:rsid w:val="0ABF58A5"/>
    <w:rsid w:val="4CEE4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qFormat/>
    <w:uiPriority w:val="0"/>
    <w:pPr>
      <w:keepNext/>
      <w:keepLines/>
      <w:spacing w:before="260" w:after="260" w:line="416" w:lineRule="auto"/>
      <w:outlineLvl w:val="2"/>
    </w:pPr>
    <w:rPr>
      <w:b/>
      <w:bCs/>
      <w:sz w:val="32"/>
      <w:szCs w:val="32"/>
    </w:rPr>
  </w:style>
  <w:style w:type="paragraph" w:styleId="5">
    <w:name w:val="heading 4"/>
    <w:basedOn w:val="1"/>
    <w:next w:val="1"/>
    <w:link w:val="16"/>
    <w:qFormat/>
    <w:uiPriority w:val="0"/>
    <w:pPr>
      <w:keepNext/>
      <w:keepLines/>
      <w:spacing w:before="280" w:after="290" w:line="374"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6">
    <w:name w:val="Balloon Text"/>
    <w:basedOn w:val="1"/>
    <w:link w:val="19"/>
    <w:semiHidden/>
    <w:unhideWhenUsed/>
    <w:qFormat/>
    <w:uiPriority w:val="99"/>
    <w:rPr>
      <w:sz w:val="18"/>
      <w:szCs w:val="18"/>
    </w:r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itle"/>
    <w:basedOn w:val="2"/>
    <w:next w:val="1"/>
    <w:link w:val="14"/>
    <w:qFormat/>
    <w:uiPriority w:val="10"/>
    <w:pPr>
      <w:keepNext w:val="0"/>
      <w:keepLines w:val="0"/>
      <w:spacing w:before="240" w:after="60" w:line="240" w:lineRule="auto"/>
      <w:jc w:val="center"/>
    </w:pPr>
    <w:rPr>
      <w:rFonts w:asciiTheme="majorHAnsi" w:hAnsiTheme="majorHAnsi" w:cstheme="majorBidi"/>
      <w:kern w:val="2"/>
      <w:sz w:val="32"/>
      <w:szCs w:val="32"/>
    </w:rPr>
  </w:style>
  <w:style w:type="table" w:styleId="11">
    <w:name w:val="Table Grid"/>
    <w:basedOn w:val="10"/>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Strong"/>
    <w:basedOn w:val="12"/>
    <w:qFormat/>
    <w:uiPriority w:val="22"/>
    <w:rPr>
      <w:b/>
      <w:bCs/>
    </w:rPr>
  </w:style>
  <w:style w:type="character" w:customStyle="1" w:styleId="14">
    <w:name w:val="标题 Char"/>
    <w:basedOn w:val="12"/>
    <w:link w:val="9"/>
    <w:qFormat/>
    <w:uiPriority w:val="10"/>
    <w:rPr>
      <w:rFonts w:asciiTheme="majorHAnsi" w:hAnsiTheme="majorHAnsi" w:cstheme="majorBidi"/>
      <w:b/>
      <w:bCs/>
      <w:kern w:val="2"/>
      <w:sz w:val="32"/>
      <w:szCs w:val="32"/>
    </w:rPr>
  </w:style>
  <w:style w:type="character" w:customStyle="1" w:styleId="15">
    <w:name w:val="标题 1 Char"/>
    <w:basedOn w:val="12"/>
    <w:link w:val="2"/>
    <w:qFormat/>
    <w:uiPriority w:val="9"/>
    <w:rPr>
      <w:b/>
      <w:bCs/>
      <w:kern w:val="44"/>
      <w:sz w:val="44"/>
      <w:szCs w:val="44"/>
    </w:rPr>
  </w:style>
  <w:style w:type="character" w:customStyle="1" w:styleId="16">
    <w:name w:val="标题 4 Char"/>
    <w:basedOn w:val="12"/>
    <w:link w:val="5"/>
    <w:qFormat/>
    <w:uiPriority w:val="0"/>
    <w:rPr>
      <w:rFonts w:ascii="Arial" w:hAnsi="Arial" w:eastAsia="黑体"/>
      <w:b/>
      <w:bCs/>
      <w:kern w:val="2"/>
      <w:sz w:val="28"/>
      <w:szCs w:val="28"/>
    </w:rPr>
  </w:style>
  <w:style w:type="character" w:customStyle="1" w:styleId="17">
    <w:name w:val="页眉 Char"/>
    <w:basedOn w:val="12"/>
    <w:link w:val="8"/>
    <w:qFormat/>
    <w:uiPriority w:val="99"/>
    <w:rPr>
      <w:kern w:val="2"/>
      <w:sz w:val="18"/>
      <w:szCs w:val="18"/>
    </w:rPr>
  </w:style>
  <w:style w:type="character" w:customStyle="1" w:styleId="18">
    <w:name w:val="页脚 Char"/>
    <w:basedOn w:val="12"/>
    <w:link w:val="7"/>
    <w:semiHidden/>
    <w:qFormat/>
    <w:uiPriority w:val="99"/>
    <w:rPr>
      <w:kern w:val="2"/>
      <w:sz w:val="18"/>
      <w:szCs w:val="18"/>
    </w:rPr>
  </w:style>
  <w:style w:type="character" w:customStyle="1" w:styleId="19">
    <w:name w:val="批注框文本 Char"/>
    <w:basedOn w:val="12"/>
    <w:link w:val="6"/>
    <w:semiHidden/>
    <w:qFormat/>
    <w:uiPriority w:val="99"/>
    <w:rPr>
      <w:kern w:val="2"/>
      <w:sz w:val="18"/>
      <w:szCs w:val="18"/>
    </w:rPr>
  </w:style>
  <w:style w:type="character" w:customStyle="1" w:styleId="20">
    <w:name w:val="标题 3 Char"/>
    <w:basedOn w:val="12"/>
    <w:link w:val="4"/>
    <w:qFormat/>
    <w:uiPriority w:val="0"/>
    <w:rPr>
      <w:b/>
      <w:bCs/>
      <w:kern w:val="2"/>
      <w:sz w:val="32"/>
      <w:szCs w:val="32"/>
    </w:rPr>
  </w:style>
  <w:style w:type="character" w:customStyle="1" w:styleId="21">
    <w:name w:val="标题 2 Char"/>
    <w:basedOn w:val="12"/>
    <w:link w:val="3"/>
    <w:semiHidden/>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上海海事大学</Company>
  <Pages>4</Pages>
  <Words>314</Words>
  <Characters>1795</Characters>
  <Lines>14</Lines>
  <Paragraphs>4</Paragraphs>
  <TotalTime>0</TotalTime>
  <ScaleCrop>false</ScaleCrop>
  <LinksUpToDate>false</LinksUpToDate>
  <CharactersWithSpaces>2105</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2011-09-29T05:39:00Z</dcterms:created>
  <dc:creator>lf</dc:creator>
  <cp:lastModifiedBy>蔚蓝天空</cp:lastModifiedBy>
  <cp:lastPrinted>2018-03-14T06:55:00Z</cp:lastPrinted>
  <dcterms:modified xsi:type="dcterms:W3CDTF">2019-04-04T01:07:50Z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