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9B5FD">
      <w:pPr>
        <w:widowControl/>
        <w:numPr>
          <w:ilvl w:val="0"/>
          <w:numId w:val="0"/>
        </w:numPr>
        <w:wordWrap w:val="0"/>
        <w:snapToGrid w:val="0"/>
        <w:spacing w:line="360" w:lineRule="auto"/>
        <w:jc w:val="center"/>
        <w:rPr>
          <w:rFonts w:hint="eastAsia" w:ascii="宋体" w:hAnsi="宋体" w:eastAsia="宋体" w:cs="宋体"/>
          <w:color w:val="000000"/>
        </w:rPr>
      </w:pPr>
      <w:r>
        <w:rPr>
          <w:rFonts w:hint="eastAsia" w:ascii="宋体" w:hAnsi="宋体" w:eastAsia="宋体" w:cs="宋体"/>
          <w:color w:val="000000"/>
        </w:rPr>
        <w:t>上海海事大学港湾校区直饮净水机维保服务项目要求</w:t>
      </w:r>
    </w:p>
    <w:p w14:paraId="70EB6CE7">
      <w:pPr>
        <w:widowControl/>
        <w:numPr>
          <w:ilvl w:val="0"/>
          <w:numId w:val="0"/>
        </w:numPr>
        <w:wordWrap w:val="0"/>
        <w:snapToGrid w:val="0"/>
        <w:spacing w:line="360" w:lineRule="auto"/>
        <w:jc w:val="left"/>
        <w:rPr>
          <w:rFonts w:hint="eastAsia" w:ascii="宋体" w:hAnsi="宋体" w:eastAsia="宋体" w:cs="宋体"/>
          <w:color w:val="000000"/>
        </w:rPr>
      </w:pPr>
      <w:r>
        <w:rPr>
          <w:rFonts w:hint="eastAsia" w:ascii="宋体" w:hAnsi="宋体" w:eastAsia="宋体" w:cs="宋体"/>
          <w:color w:val="000000"/>
        </w:rPr>
        <w:t>项目名称：上海事大学港湾校区直饮净水机维保服务项目</w:t>
      </w:r>
    </w:p>
    <w:p w14:paraId="361E6C72">
      <w:pPr>
        <w:widowControl/>
        <w:numPr>
          <w:ilvl w:val="0"/>
          <w:numId w:val="0"/>
        </w:numPr>
        <w:wordWrap w:val="0"/>
        <w:snapToGrid w:val="0"/>
        <w:spacing w:line="360" w:lineRule="auto"/>
        <w:jc w:val="left"/>
        <w:rPr>
          <w:rFonts w:hint="eastAsia" w:ascii="宋体" w:hAnsi="宋体" w:eastAsia="宋体" w:cs="宋体"/>
          <w:color w:val="000000"/>
        </w:rPr>
      </w:pPr>
      <w:r>
        <w:rPr>
          <w:rFonts w:hint="eastAsia" w:ascii="宋体" w:hAnsi="宋体" w:eastAsia="宋体" w:cs="宋体"/>
          <w:color w:val="000000"/>
          <w:lang w:eastAsia="zh-CN"/>
        </w:rPr>
        <w:t>一、</w:t>
      </w:r>
      <w:r>
        <w:rPr>
          <w:rFonts w:hint="eastAsia" w:ascii="宋体" w:hAnsi="宋体" w:eastAsia="宋体" w:cs="宋体"/>
          <w:color w:val="000000"/>
        </w:rPr>
        <w:t>供应商资格要求：</w:t>
      </w:r>
    </w:p>
    <w:p w14:paraId="5F61F04B">
      <w:pPr>
        <w:widowControl/>
        <w:numPr>
          <w:ilvl w:val="0"/>
          <w:numId w:val="2"/>
        </w:numPr>
        <w:wordWrap w:val="0"/>
        <w:snapToGrid w:val="0"/>
        <w:spacing w:line="360" w:lineRule="auto"/>
        <w:jc w:val="left"/>
        <w:rPr>
          <w:rFonts w:ascii="宋体" w:hAnsi="宋体" w:eastAsia="宋体" w:cs="宋体"/>
          <w:kern w:val="0"/>
          <w:szCs w:val="21"/>
        </w:rPr>
      </w:pPr>
      <w:r>
        <w:rPr>
          <w:rFonts w:hint="eastAsia" w:ascii="宋体" w:hAnsi="宋体" w:eastAsia="宋体" w:cs="宋体"/>
          <w:kern w:val="0"/>
          <w:szCs w:val="21"/>
        </w:rPr>
        <w:t>符合《中华人民共和国政府采购法》第二十二条规定；</w:t>
      </w:r>
      <w:bookmarkStart w:id="0" w:name="OLE_LINK51"/>
    </w:p>
    <w:p w14:paraId="7B0598D9">
      <w:pPr>
        <w:widowControl/>
        <w:numPr>
          <w:ilvl w:val="0"/>
          <w:numId w:val="2"/>
        </w:numPr>
        <w:wordWrap w:val="0"/>
        <w:snapToGrid w:val="0"/>
        <w:spacing w:line="360" w:lineRule="auto"/>
        <w:jc w:val="left"/>
        <w:rPr>
          <w:rFonts w:ascii="宋体" w:hAnsi="宋体" w:eastAsia="宋体" w:cs="宋体"/>
          <w:color w:val="000000"/>
        </w:rPr>
      </w:pPr>
      <w:r>
        <w:rPr>
          <w:rFonts w:hint="eastAsia" w:ascii="宋体" w:hAnsi="宋体" w:eastAsia="宋体" w:cs="宋体"/>
          <w:kern w:val="0"/>
          <w:szCs w:val="21"/>
        </w:rPr>
        <w:t>投标人及其投标产品和服务符合国家法律法规及强制性规范所规定的条件；</w:t>
      </w:r>
    </w:p>
    <w:p w14:paraId="729587F8">
      <w:pPr>
        <w:widowControl/>
        <w:numPr>
          <w:ilvl w:val="0"/>
          <w:numId w:val="2"/>
        </w:numPr>
        <w:wordWrap w:val="0"/>
        <w:snapToGrid w:val="0"/>
        <w:spacing w:line="360" w:lineRule="auto"/>
        <w:jc w:val="left"/>
        <w:rPr>
          <w:rFonts w:ascii="宋体" w:hAnsi="宋体" w:eastAsia="宋体" w:cs="宋体"/>
          <w:color w:val="000000"/>
        </w:rPr>
      </w:pPr>
      <w:r>
        <w:rPr>
          <w:rFonts w:hint="eastAsia" w:ascii="宋体" w:hAnsi="宋体" w:eastAsia="宋体" w:cs="宋体"/>
          <w:kern w:val="0"/>
          <w:szCs w:val="21"/>
        </w:rPr>
        <w:t>在中华人民共和国境内注册并取得营业执照的法人单位，有相应的经营范围（提供营业执照）；</w:t>
      </w:r>
    </w:p>
    <w:p w14:paraId="2D027D4A">
      <w:pPr>
        <w:widowControl/>
        <w:numPr>
          <w:ilvl w:val="0"/>
          <w:numId w:val="2"/>
        </w:numPr>
        <w:wordWrap w:val="0"/>
        <w:snapToGrid w:val="0"/>
        <w:spacing w:line="360" w:lineRule="auto"/>
        <w:jc w:val="left"/>
        <w:rPr>
          <w:rFonts w:ascii="宋体" w:hAnsi="宋体" w:eastAsia="宋体" w:cs="宋体"/>
          <w:color w:val="000000"/>
        </w:rPr>
      </w:pPr>
      <w:r>
        <w:rPr>
          <w:rFonts w:hint="eastAsia" w:ascii="宋体" w:hAnsi="宋体" w:eastAsia="宋体" w:cs="宋体"/>
          <w:color w:val="000000"/>
        </w:rPr>
        <w:t>投标人须有专业服务机构并能够提供良好、可靠的售后服务、水质检测及维修保养服务；</w:t>
      </w:r>
    </w:p>
    <w:p w14:paraId="1994EC1B">
      <w:pPr>
        <w:widowControl/>
        <w:numPr>
          <w:ilvl w:val="0"/>
          <w:numId w:val="2"/>
        </w:numPr>
        <w:wordWrap w:val="0"/>
        <w:snapToGrid w:val="0"/>
        <w:spacing w:line="360" w:lineRule="auto"/>
        <w:jc w:val="left"/>
        <w:rPr>
          <w:rFonts w:ascii="宋体" w:hAnsi="宋体" w:eastAsia="宋体" w:cs="宋体"/>
          <w:kern w:val="0"/>
          <w:szCs w:val="21"/>
          <w:lang w:val="zh-CN"/>
        </w:rPr>
      </w:pPr>
      <w:r>
        <w:rPr>
          <w:rFonts w:hint="eastAsia" w:ascii="宋体" w:hAnsi="宋体" w:eastAsia="宋体" w:cs="宋体"/>
          <w:color w:val="000000"/>
        </w:rPr>
        <w:t>具有独立承担民事责任和履行合同能力，具有良好的商业信誉和健全的财务会计制度，具有履行合同所必需的能力，具有完善的服务体系，信誉良好；</w:t>
      </w:r>
    </w:p>
    <w:p w14:paraId="1FD67E7D">
      <w:pPr>
        <w:widowControl/>
        <w:numPr>
          <w:ilvl w:val="0"/>
          <w:numId w:val="2"/>
        </w:numPr>
        <w:wordWrap w:val="0"/>
        <w:snapToGrid w:val="0"/>
        <w:spacing w:line="360" w:lineRule="auto"/>
        <w:jc w:val="left"/>
        <w:rPr>
          <w:rFonts w:ascii="宋体" w:hAnsi="宋体" w:eastAsia="宋体" w:cs="宋体"/>
          <w:kern w:val="0"/>
          <w:szCs w:val="21"/>
        </w:rPr>
      </w:pPr>
      <w:r>
        <w:rPr>
          <w:rFonts w:hint="eastAsia" w:ascii="宋体" w:hAnsi="宋体" w:eastAsia="宋体" w:cs="宋体"/>
          <w:kern w:val="0"/>
          <w:szCs w:val="21"/>
          <w:lang w:val="zh-CN"/>
        </w:rPr>
        <w:t>本项目不接受联合投标；</w:t>
      </w:r>
    </w:p>
    <w:p w14:paraId="1B3283F2">
      <w:pPr>
        <w:widowControl/>
        <w:numPr>
          <w:ilvl w:val="0"/>
          <w:numId w:val="2"/>
        </w:numPr>
        <w:wordWrap w:val="0"/>
        <w:snapToGrid w:val="0"/>
        <w:spacing w:line="360" w:lineRule="auto"/>
        <w:jc w:val="left"/>
        <w:rPr>
          <w:rFonts w:ascii="宋体" w:hAnsi="宋体" w:eastAsia="宋体" w:cs="宋体"/>
        </w:rPr>
      </w:pPr>
      <w:r>
        <w:rPr>
          <w:rFonts w:hint="eastAsia" w:ascii="宋体" w:hAnsi="宋体" w:eastAsia="宋体" w:cs="宋体"/>
          <w:kern w:val="0"/>
          <w:szCs w:val="21"/>
        </w:rPr>
        <w:t>投标单位承接此项目后不得转包；</w:t>
      </w:r>
      <w:bookmarkEnd w:id="0"/>
    </w:p>
    <w:p w14:paraId="28246032">
      <w:pPr>
        <w:widowControl/>
        <w:numPr>
          <w:ilvl w:val="0"/>
          <w:numId w:val="0"/>
        </w:numPr>
        <w:wordWrap w:val="0"/>
        <w:snapToGrid w:val="0"/>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二、</w:t>
      </w:r>
      <w:r>
        <w:rPr>
          <w:rFonts w:hint="eastAsia" w:ascii="宋体" w:hAnsi="宋体" w:eastAsia="宋体" w:cs="宋体"/>
          <w:color w:val="auto"/>
          <w:sz w:val="24"/>
          <w:szCs w:val="24"/>
        </w:rPr>
        <w:t>项目内容：</w:t>
      </w:r>
    </w:p>
    <w:p w14:paraId="181D013F">
      <w:pPr>
        <w:numPr>
          <w:ilvl w:val="0"/>
          <w:numId w:val="3"/>
        </w:numPr>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直饮净水机维保品牌及数量：</w:t>
      </w:r>
    </w:p>
    <w:p w14:paraId="17286747">
      <w:pPr>
        <w:numPr>
          <w:ilvl w:val="0"/>
          <w:numId w:val="4"/>
        </w:numPr>
        <w:spacing w:line="360" w:lineRule="auto"/>
        <w:jc w:val="left"/>
        <w:rPr>
          <w:rFonts w:ascii="宋体" w:hAnsi="宋体" w:eastAsia="宋体" w:cs="宋体"/>
          <w:color w:val="auto"/>
          <w:sz w:val="24"/>
          <w:szCs w:val="24"/>
        </w:rPr>
      </w:pPr>
      <w:r>
        <w:rPr>
          <w:rFonts w:hint="eastAsia" w:ascii="宋体" w:hAnsi="宋体" w:eastAsia="宋体" w:cs="宋体"/>
          <w:color w:val="auto"/>
          <w:sz w:val="24"/>
          <w:szCs w:val="24"/>
        </w:rPr>
        <w:t>直饮净水机品牌为</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台沃达斯牌直饮净水机</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型号为SC/V-V1型（</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台）、SC/V-V2型（3台）、SC/V-V3型（</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台）、SC/V-V4型（</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台）、SC/V-V5型（1台）。</w:t>
      </w:r>
    </w:p>
    <w:p w14:paraId="47037068">
      <w:pPr>
        <w:numPr>
          <w:ilvl w:val="0"/>
          <w:numId w:val="4"/>
        </w:numPr>
        <w:spacing w:line="360" w:lineRule="auto"/>
        <w:jc w:val="left"/>
        <w:rPr>
          <w:rFonts w:ascii="宋体" w:hAnsi="宋体" w:eastAsia="宋体" w:cs="宋体"/>
          <w:color w:val="000000"/>
        </w:rPr>
      </w:pPr>
      <w:r>
        <w:rPr>
          <w:rFonts w:hint="eastAsia" w:ascii="宋体" w:hAnsi="宋体" w:eastAsia="宋体" w:cs="宋体"/>
          <w:color w:val="000000"/>
          <w:szCs w:val="21"/>
          <w:lang w:eastAsia="zh-CN"/>
        </w:rPr>
        <w:t>直饮水机品牌：</w:t>
      </w:r>
      <w:r>
        <w:rPr>
          <w:rFonts w:hint="eastAsia" w:ascii="宋体" w:hAnsi="宋体" w:eastAsia="宋体" w:cs="宋体"/>
          <w:color w:val="000000"/>
          <w:szCs w:val="21"/>
        </w:rPr>
        <w:t>“沃达斯”</w:t>
      </w:r>
      <w:bookmarkStart w:id="1" w:name="_GoBack"/>
      <w:bookmarkEnd w:id="1"/>
    </w:p>
    <w:p w14:paraId="262B25B7">
      <w:pPr>
        <w:numPr>
          <w:ilvl w:val="0"/>
          <w:numId w:val="3"/>
        </w:numPr>
        <w:spacing w:line="360" w:lineRule="auto"/>
        <w:jc w:val="left"/>
        <w:rPr>
          <w:rFonts w:ascii="宋体" w:hAnsi="宋体" w:eastAsia="宋体" w:cs="宋体"/>
          <w:color w:val="000000"/>
        </w:rPr>
      </w:pPr>
      <w:r>
        <w:rPr>
          <w:rFonts w:hint="eastAsia" w:ascii="宋体" w:hAnsi="宋体" w:eastAsia="宋体" w:cs="宋体"/>
          <w:color w:val="000000"/>
        </w:rPr>
        <w:t>供应商需提供全年365天*24小时无休服务，随时配合校方的要求并作出合理答复和处理；</w:t>
      </w:r>
    </w:p>
    <w:p w14:paraId="6F11122D">
      <w:pPr>
        <w:numPr>
          <w:ilvl w:val="0"/>
          <w:numId w:val="3"/>
        </w:numPr>
        <w:spacing w:line="360" w:lineRule="auto"/>
        <w:jc w:val="left"/>
        <w:rPr>
          <w:rFonts w:hint="eastAsia" w:ascii="宋体" w:hAnsi="宋体" w:eastAsia="宋体" w:cs="宋体"/>
          <w:color w:val="000000"/>
        </w:rPr>
      </w:pPr>
      <w:r>
        <w:rPr>
          <w:rFonts w:hint="eastAsia" w:ascii="宋体" w:hAnsi="宋体" w:eastAsia="宋体" w:cs="宋体"/>
          <w:color w:val="000000"/>
        </w:rPr>
        <w:t>供应商需对净水机定期进行大保养服务（时间满一年或用水量达到额定总净水量时），大保养服务应包含以下内容：</w:t>
      </w:r>
    </w:p>
    <w:p w14:paraId="642032EA">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更换</w:t>
      </w:r>
      <w:r>
        <w:rPr>
          <w:rFonts w:hint="eastAsia" w:ascii="宋体" w:hAnsi="宋体" w:eastAsia="宋体" w:cs="宋体"/>
          <w:color w:val="000000"/>
          <w:szCs w:val="21"/>
        </w:rPr>
        <w:t>“沃达斯”</w:t>
      </w:r>
      <w:r>
        <w:rPr>
          <w:rFonts w:hint="eastAsia" w:ascii="宋体" w:hAnsi="宋体" w:eastAsia="宋体" w:cs="宋体"/>
          <w:color w:val="000000"/>
        </w:rPr>
        <w:t>原厂整套过滤滤芯：调换玻璃钢桶体、更换定制优质椰壳活性炭、更换KDF（滤料）及反应器总成等；</w:t>
      </w:r>
    </w:p>
    <w:p w14:paraId="6DC6DA6C">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调换输水器组件；</w:t>
      </w:r>
    </w:p>
    <w:p w14:paraId="6EB7945B">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更换紫外线杀菌灯管；</w:t>
      </w:r>
    </w:p>
    <w:p w14:paraId="3632396B">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清洗开水器内胆；</w:t>
      </w:r>
    </w:p>
    <w:p w14:paraId="70F572A9">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清洗检查水龙头工作情况；</w:t>
      </w:r>
    </w:p>
    <w:p w14:paraId="0907A222">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检查开水器工作状况；</w:t>
      </w:r>
    </w:p>
    <w:p w14:paraId="252CD2C7">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检查设备溢流情况；</w:t>
      </w:r>
    </w:p>
    <w:p w14:paraId="185E360F">
      <w:pPr>
        <w:numPr>
          <w:ilvl w:val="0"/>
          <w:numId w:val="5"/>
        </w:numPr>
        <w:spacing w:line="360" w:lineRule="auto"/>
        <w:jc w:val="left"/>
        <w:rPr>
          <w:rFonts w:ascii="宋体" w:hAnsi="宋体" w:eastAsia="宋体" w:cs="宋体"/>
          <w:color w:val="000000"/>
        </w:rPr>
      </w:pPr>
      <w:r>
        <w:rPr>
          <w:rFonts w:hint="eastAsia" w:ascii="宋体" w:hAnsi="宋体" w:eastAsia="宋体" w:cs="宋体"/>
          <w:color w:val="000000"/>
        </w:rPr>
        <w:t>检查设备漏水隐患，更换密封圈等；</w:t>
      </w:r>
    </w:p>
    <w:p w14:paraId="567CD4DB">
      <w:pPr>
        <w:numPr>
          <w:ilvl w:val="0"/>
          <w:numId w:val="5"/>
        </w:numPr>
        <w:spacing w:line="360" w:lineRule="auto"/>
        <w:jc w:val="left"/>
        <w:rPr>
          <w:rFonts w:hint="eastAsia" w:ascii="宋体" w:hAnsi="宋体" w:eastAsia="宋体" w:cs="宋体"/>
          <w:color w:val="000000"/>
          <w:szCs w:val="21"/>
        </w:rPr>
      </w:pPr>
      <w:r>
        <w:rPr>
          <w:rFonts w:hint="eastAsia" w:ascii="宋体" w:hAnsi="宋体" w:eastAsia="宋体" w:cs="宋体"/>
          <w:color w:val="000000"/>
          <w:szCs w:val="21"/>
        </w:rPr>
        <w:t>检查漏电保护器，检查电气、电路安全隐患。</w:t>
      </w:r>
    </w:p>
    <w:p w14:paraId="7D99C38A">
      <w:pPr>
        <w:numPr>
          <w:ilvl w:val="0"/>
          <w:numId w:val="3"/>
        </w:numPr>
        <w:spacing w:line="360" w:lineRule="auto"/>
        <w:jc w:val="left"/>
        <w:rPr>
          <w:rFonts w:hint="eastAsia" w:ascii="宋体" w:hAnsi="宋体" w:eastAsia="宋体" w:cs="宋体"/>
          <w:color w:val="000000"/>
          <w:szCs w:val="21"/>
        </w:rPr>
      </w:pPr>
      <w:r>
        <w:rPr>
          <w:rFonts w:hint="eastAsia" w:ascii="宋体" w:hAnsi="宋体" w:eastAsia="宋体" w:cs="宋体"/>
        </w:rPr>
        <w:t>供应商需对出现故障的直饮净水机进行维修服务。</w:t>
      </w:r>
    </w:p>
    <w:p w14:paraId="7334DA89">
      <w:pPr>
        <w:numPr>
          <w:ilvl w:val="0"/>
          <w:numId w:val="3"/>
        </w:numPr>
        <w:spacing w:line="360" w:lineRule="auto"/>
        <w:jc w:val="left"/>
        <w:rPr>
          <w:rFonts w:ascii="宋体" w:hAnsi="宋体" w:eastAsia="宋体" w:cs="宋体"/>
          <w:color w:val="000000"/>
          <w:szCs w:val="21"/>
        </w:rPr>
      </w:pPr>
      <w:r>
        <w:rPr>
          <w:rFonts w:hint="eastAsia" w:ascii="宋体" w:hAnsi="宋体" w:eastAsia="宋体" w:cs="宋体"/>
          <w:b/>
          <w:bCs/>
          <w:szCs w:val="21"/>
        </w:rPr>
        <w:t>本项目采取一次采购三年享用，分年签订协议和付款。</w:t>
      </w:r>
      <w:r>
        <w:rPr>
          <w:rFonts w:hint="eastAsia" w:ascii="宋体" w:hAnsi="宋体" w:eastAsia="宋体" w:cs="宋体"/>
          <w:color w:val="000000"/>
          <w:szCs w:val="21"/>
        </w:rPr>
        <w:t>次年续签协议的前提是上年度服务结束后由采购人对中标供应商的工作进行考核，服务满足协议规定的达标条件，双方协商一致可续签下一年度协议。</w:t>
      </w:r>
    </w:p>
    <w:p w14:paraId="7D18D6A9">
      <w:pPr>
        <w:widowControl/>
        <w:numPr>
          <w:ilvl w:val="0"/>
          <w:numId w:val="0"/>
        </w:numPr>
        <w:wordWrap w:val="0"/>
        <w:snapToGrid w:val="0"/>
        <w:spacing w:line="360" w:lineRule="auto"/>
        <w:jc w:val="left"/>
        <w:rPr>
          <w:rFonts w:hint="eastAsia" w:ascii="宋体" w:hAnsi="宋体" w:eastAsia="宋体" w:cs="宋体"/>
          <w:color w:val="000000"/>
        </w:rPr>
      </w:pPr>
      <w:r>
        <w:rPr>
          <w:rFonts w:hint="eastAsia" w:ascii="宋体" w:hAnsi="宋体" w:eastAsia="宋体" w:cs="宋体"/>
          <w:color w:val="000000"/>
          <w:lang w:eastAsia="zh-CN"/>
        </w:rPr>
        <w:t>三、</w:t>
      </w:r>
      <w:r>
        <w:rPr>
          <w:rFonts w:hint="eastAsia" w:ascii="宋体" w:hAnsi="宋体" w:eastAsia="宋体" w:cs="宋体"/>
          <w:color w:val="000000"/>
        </w:rPr>
        <w:t>其他要求：</w:t>
      </w:r>
    </w:p>
    <w:p w14:paraId="03594FBF">
      <w:pPr>
        <w:widowControl/>
        <w:numPr>
          <w:ilvl w:val="0"/>
          <w:numId w:val="0"/>
        </w:numPr>
        <w:wordWrap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lang w:val="en-US" w:eastAsia="zh-CN"/>
        </w:rPr>
        <w:t>1、</w:t>
      </w:r>
      <w:r>
        <w:rPr>
          <w:rFonts w:hint="eastAsia" w:ascii="宋体" w:hAnsi="宋体" w:eastAsia="宋体" w:cs="宋体"/>
          <w:kern w:val="0"/>
          <w:szCs w:val="21"/>
        </w:rPr>
        <w:t>供应商需为学校管理人员进行免费技术培训；</w:t>
      </w:r>
    </w:p>
    <w:p w14:paraId="7C0C3E3F">
      <w:pPr>
        <w:widowControl/>
        <w:numPr>
          <w:ilvl w:val="0"/>
          <w:numId w:val="0"/>
        </w:numPr>
        <w:wordWrap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lang w:val="en-US" w:eastAsia="zh-CN"/>
        </w:rPr>
        <w:t>2、</w:t>
      </w:r>
      <w:r>
        <w:rPr>
          <w:rFonts w:hint="eastAsia" w:ascii="宋体" w:hAnsi="宋体" w:eastAsia="宋体" w:cs="宋体"/>
          <w:kern w:val="0"/>
          <w:szCs w:val="21"/>
        </w:rPr>
        <w:t>供应商直接从事学校直饮水维护保养的人员，需全部取得体检合格证，持证上岗，并每年进行健康检查；</w:t>
      </w:r>
    </w:p>
    <w:p w14:paraId="114E47D0">
      <w:pPr>
        <w:widowControl/>
        <w:numPr>
          <w:ilvl w:val="0"/>
          <w:numId w:val="0"/>
        </w:numPr>
        <w:wordWrap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lang w:val="en-US" w:eastAsia="zh-CN"/>
        </w:rPr>
        <w:t>3、</w:t>
      </w:r>
      <w:r>
        <w:rPr>
          <w:rFonts w:hint="eastAsia" w:ascii="宋体" w:hAnsi="宋体" w:eastAsia="宋体" w:cs="宋体"/>
          <w:kern w:val="0"/>
          <w:szCs w:val="21"/>
        </w:rPr>
        <w:t>供应商须同时提供所更换滤芯的卫生许可证明文件；</w:t>
      </w:r>
    </w:p>
    <w:p w14:paraId="0E2F9F28">
      <w:pPr>
        <w:widowControl/>
        <w:numPr>
          <w:ilvl w:val="0"/>
          <w:numId w:val="0"/>
        </w:numPr>
        <w:wordWrap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lang w:val="en-US" w:eastAsia="zh-CN"/>
        </w:rPr>
        <w:t>4、</w:t>
      </w:r>
      <w:r>
        <w:rPr>
          <w:rFonts w:hint="eastAsia" w:ascii="宋体" w:hAnsi="宋体" w:eastAsia="宋体" w:cs="宋体"/>
          <w:kern w:val="0"/>
          <w:szCs w:val="21"/>
        </w:rPr>
        <w:t>供应商报价包含合同期间直饮水机滤芯更换、机器保养、及与此相关的人工费、交通费、税费等费用；包括净水机可能出现故障产生维修费用的价格，含人工费、材料费；</w:t>
      </w:r>
    </w:p>
    <w:p w14:paraId="66D05A26">
      <w:pPr>
        <w:widowControl/>
        <w:numPr>
          <w:ilvl w:val="0"/>
          <w:numId w:val="0"/>
        </w:numPr>
        <w:wordWrap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lang w:val="en-US" w:eastAsia="zh-CN"/>
        </w:rPr>
        <w:t>5、</w:t>
      </w:r>
      <w:r>
        <w:rPr>
          <w:rFonts w:hint="eastAsia" w:ascii="宋体" w:hAnsi="宋体" w:eastAsia="宋体" w:cs="宋体"/>
          <w:kern w:val="0"/>
          <w:szCs w:val="21"/>
        </w:rPr>
        <w:t>供应商须提供详细完善的售后服务运行维护制度、培训方案、档案管理制度、应急制度和水质检测制度；</w:t>
      </w:r>
    </w:p>
    <w:p w14:paraId="083A62E1">
      <w:pPr>
        <w:widowControl/>
        <w:numPr>
          <w:ilvl w:val="0"/>
          <w:numId w:val="0"/>
        </w:numPr>
        <w:wordWrap w:val="0"/>
        <w:snapToGrid w:val="0"/>
        <w:spacing w:line="360" w:lineRule="auto"/>
        <w:jc w:val="left"/>
        <w:rPr>
          <w:rFonts w:hint="eastAsia" w:ascii="宋体" w:hAnsi="宋体" w:eastAsia="宋体" w:cs="宋体"/>
          <w:kern w:val="0"/>
          <w:szCs w:val="21"/>
        </w:rPr>
      </w:pPr>
      <w:r>
        <w:rPr>
          <w:rFonts w:hint="eastAsia" w:ascii="宋体" w:hAnsi="宋体" w:eastAsia="宋体" w:cs="宋体"/>
          <w:kern w:val="0"/>
          <w:szCs w:val="21"/>
          <w:lang w:val="en-US" w:eastAsia="zh-CN"/>
        </w:rPr>
        <w:t>6、</w:t>
      </w:r>
      <w:r>
        <w:rPr>
          <w:rFonts w:hint="eastAsia" w:ascii="宋体" w:hAnsi="宋体" w:eastAsia="宋体" w:cs="宋体"/>
          <w:kern w:val="0"/>
          <w:szCs w:val="21"/>
        </w:rPr>
        <w:t>投标人须提供在上海地区类似项目列表，并附合同复印件等证明资料。</w:t>
      </w:r>
    </w:p>
    <w:p w14:paraId="1235F3F7">
      <w:pPr>
        <w:widowControl/>
        <w:numPr>
          <w:ilvl w:val="0"/>
          <w:numId w:val="0"/>
        </w:numPr>
        <w:wordWrap w:val="0"/>
        <w:snapToGrid w:val="0"/>
        <w:spacing w:line="360" w:lineRule="auto"/>
        <w:jc w:val="left"/>
        <w:rPr>
          <w:rFonts w:hint="eastAsia" w:ascii="宋体" w:hAnsi="宋体" w:eastAsia="宋体" w:cs="宋体"/>
          <w:kern w:val="0"/>
          <w:szCs w:val="21"/>
        </w:rPr>
      </w:pPr>
    </w:p>
    <w:p w14:paraId="50CF85E1">
      <w:pPr>
        <w:rPr>
          <w:rFonts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08A1D"/>
    <w:multiLevelType w:val="singleLevel"/>
    <w:tmpl w:val="02408A1D"/>
    <w:lvl w:ilvl="0" w:tentative="0">
      <w:start w:val="1"/>
      <w:numFmt w:val="decimal"/>
      <w:suff w:val="nothing"/>
      <w:lvlText w:val="（%1）"/>
      <w:lvlJc w:val="left"/>
    </w:lvl>
  </w:abstractNum>
  <w:abstractNum w:abstractNumId="1">
    <w:nsid w:val="5A40DEAF"/>
    <w:multiLevelType w:val="singleLevel"/>
    <w:tmpl w:val="5A40DEAF"/>
    <w:lvl w:ilvl="0" w:tentative="0">
      <w:start w:val="1"/>
      <w:numFmt w:val="decimal"/>
      <w:suff w:val="nothing"/>
      <w:lvlText w:val="%1、"/>
      <w:lvlJc w:val="left"/>
    </w:lvl>
  </w:abstractNum>
  <w:abstractNum w:abstractNumId="2">
    <w:nsid w:val="5A40DF4E"/>
    <w:multiLevelType w:val="singleLevel"/>
    <w:tmpl w:val="5A40DF4E"/>
    <w:lvl w:ilvl="0" w:tentative="0">
      <w:start w:val="1"/>
      <w:numFmt w:val="decimal"/>
      <w:suff w:val="nothing"/>
      <w:lvlText w:val="%1、"/>
      <w:lvlJc w:val="left"/>
    </w:lvl>
  </w:abstractNum>
  <w:abstractNum w:abstractNumId="3">
    <w:nsid w:val="5A40F0FC"/>
    <w:multiLevelType w:val="singleLevel"/>
    <w:tmpl w:val="5A40F0FC"/>
    <w:lvl w:ilvl="0" w:tentative="0">
      <w:start w:val="1"/>
      <w:numFmt w:val="decimal"/>
      <w:suff w:val="nothing"/>
      <w:lvlText w:val="（%1）"/>
      <w:lvlJc w:val="left"/>
    </w:lvl>
  </w:abstractNum>
  <w:abstractNum w:abstractNumId="4">
    <w:nsid w:val="6F9C7FE5"/>
    <w:multiLevelType w:val="multilevel"/>
    <w:tmpl w:val="6F9C7FE5"/>
    <w:lvl w:ilvl="0" w:tentative="0">
      <w:start w:val="1"/>
      <w:numFmt w:val="decimal"/>
      <w:suff w:val="nothing"/>
      <w:lvlText w:val="%1. "/>
      <w:lvlJc w:val="left"/>
      <w:rPr>
        <w:rFonts w:hint="default" w:ascii="Times New Roman" w:hAnsi="Times New Roman" w:cs="Times New Roman"/>
        <w:b/>
        <w:i w:val="0"/>
        <w:sz w:val="30"/>
        <w:szCs w:val="30"/>
      </w:rPr>
    </w:lvl>
    <w:lvl w:ilvl="1" w:tentative="0">
      <w:start w:val="1"/>
      <w:numFmt w:val="decimal"/>
      <w:suff w:val="nothing"/>
      <w:lvlText w:val="%1.%2 "/>
      <w:lvlJc w:val="left"/>
      <w:rPr>
        <w:rFonts w:hint="default" w:ascii="Times New Roman" w:hAnsi="Times New Roman" w:cs="Times New Roman"/>
        <w:b/>
        <w:i w:val="0"/>
        <w:sz w:val="28"/>
        <w:szCs w:val="28"/>
      </w:rPr>
    </w:lvl>
    <w:lvl w:ilvl="2" w:tentative="0">
      <w:start w:val="1"/>
      <w:numFmt w:val="decimal"/>
      <w:suff w:val="nothing"/>
      <w:lvlText w:val="%1.%2.%3 "/>
      <w:lvlJc w:val="left"/>
      <w:rPr>
        <w:rFonts w:hint="default" w:ascii="Times New Roman" w:hAnsi="Times New Roman" w:cs="Times New Roman"/>
        <w:b/>
        <w:i w:val="0"/>
        <w:sz w:val="24"/>
        <w:szCs w:val="24"/>
      </w:rPr>
    </w:lvl>
    <w:lvl w:ilvl="3" w:tentative="0">
      <w:start w:val="1"/>
      <w:numFmt w:val="decimal"/>
      <w:suff w:val="nothing"/>
      <w:lvlText w:val="%1.%2.%3.%4 "/>
      <w:lvlJc w:val="left"/>
      <w:rPr>
        <w:rFonts w:hint="default" w:ascii="Times New Roman" w:hAnsi="Times New Roman" w:cs="Times New Roman"/>
        <w:b/>
        <w:i w:val="0"/>
        <w:sz w:val="21"/>
        <w:szCs w:val="21"/>
      </w:rPr>
    </w:lvl>
    <w:lvl w:ilvl="4" w:tentative="0">
      <w:start w:val="1"/>
      <w:numFmt w:val="decimal"/>
      <w:suff w:val="nothing"/>
      <w:lvlText w:val="%1.%2.%3.%4.%5 "/>
      <w:lvlJc w:val="left"/>
      <w:rPr>
        <w:rFonts w:hint="default" w:ascii="Times New Roman" w:hAnsi="Times New Roman" w:cs="Times New Roman"/>
        <w:b/>
        <w:i w:val="0"/>
        <w:sz w:val="21"/>
        <w:szCs w:val="21"/>
      </w:rPr>
    </w:lvl>
    <w:lvl w:ilvl="5" w:tentative="0">
      <w:start w:val="1"/>
      <w:numFmt w:val="none"/>
      <w:suff w:val="nothing"/>
      <w:lvlText w:val=""/>
      <w:lvlJc w:val="left"/>
      <w:rPr>
        <w:rFonts w:hint="eastAsia"/>
      </w:rPr>
    </w:lvl>
    <w:lvl w:ilvl="6" w:tentative="0">
      <w:start w:val="1"/>
      <w:numFmt w:val="none"/>
      <w:pStyle w:val="5"/>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ZmMWUzODY4MTQ0ZmVjYzMyMjY2M2U0NmU3ZTRkOGMifQ=="/>
  </w:docVars>
  <w:rsids>
    <w:rsidRoot w:val="00D46256"/>
    <w:rsid w:val="001F5E4A"/>
    <w:rsid w:val="004909A9"/>
    <w:rsid w:val="00BD2405"/>
    <w:rsid w:val="00D04FE8"/>
    <w:rsid w:val="00D46256"/>
    <w:rsid w:val="00E2782B"/>
    <w:rsid w:val="00FC7DB1"/>
    <w:rsid w:val="01B7315C"/>
    <w:rsid w:val="03311390"/>
    <w:rsid w:val="0800689C"/>
    <w:rsid w:val="0AA332AF"/>
    <w:rsid w:val="10E85CE9"/>
    <w:rsid w:val="14B8717D"/>
    <w:rsid w:val="175611FD"/>
    <w:rsid w:val="17F035B2"/>
    <w:rsid w:val="184A0746"/>
    <w:rsid w:val="18E8540C"/>
    <w:rsid w:val="1D0841A2"/>
    <w:rsid w:val="1D3F1AE1"/>
    <w:rsid w:val="1E4967E9"/>
    <w:rsid w:val="1F134D33"/>
    <w:rsid w:val="1FAD31C5"/>
    <w:rsid w:val="22B93C24"/>
    <w:rsid w:val="22E8180C"/>
    <w:rsid w:val="2E9467E6"/>
    <w:rsid w:val="32930E57"/>
    <w:rsid w:val="334A42A7"/>
    <w:rsid w:val="47BD4148"/>
    <w:rsid w:val="4A83320B"/>
    <w:rsid w:val="4A9E5AA0"/>
    <w:rsid w:val="4E427F1C"/>
    <w:rsid w:val="570F4271"/>
    <w:rsid w:val="57200C46"/>
    <w:rsid w:val="59770443"/>
    <w:rsid w:val="5E285328"/>
    <w:rsid w:val="5FF34DD4"/>
    <w:rsid w:val="62CA5B79"/>
    <w:rsid w:val="670818F0"/>
    <w:rsid w:val="695D283E"/>
    <w:rsid w:val="6B0332BA"/>
    <w:rsid w:val="6F747229"/>
    <w:rsid w:val="70DC33E5"/>
    <w:rsid w:val="7B252618"/>
    <w:rsid w:val="7D52486A"/>
    <w:rsid w:val="7E085920"/>
    <w:rsid w:val="7EDE5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ind w:left="1000"/>
      <w:outlineLvl w:val="1"/>
    </w:pPr>
    <w:rPr>
      <w:rFonts w:ascii="宋体" w:hAnsi="宋体" w:eastAsia="宋体" w:cs="宋体"/>
      <w:b/>
      <w:bCs/>
      <w:szCs w:val="21"/>
      <w:lang w:val="zh-CN" w:bidi="zh-CN"/>
    </w:rPr>
  </w:style>
  <w:style w:type="paragraph" w:styleId="3">
    <w:name w:val="heading 3"/>
    <w:basedOn w:val="1"/>
    <w:next w:val="1"/>
    <w:unhideWhenUsed/>
    <w:qFormat/>
    <w:uiPriority w:val="0"/>
    <w:pPr>
      <w:keepNext/>
      <w:keepLines/>
      <w:spacing w:before="260" w:after="260" w:line="416" w:lineRule="auto"/>
      <w:outlineLvl w:val="2"/>
    </w:pPr>
    <w:rPr>
      <w:b/>
      <w:bCs/>
      <w:sz w:val="32"/>
      <w:szCs w:val="32"/>
    </w:rPr>
  </w:style>
  <w:style w:type="paragraph" w:styleId="4">
    <w:name w:val="heading 4"/>
    <w:basedOn w:val="3"/>
    <w:next w:val="1"/>
    <w:unhideWhenUsed/>
    <w:qFormat/>
    <w:uiPriority w:val="0"/>
    <w:pPr>
      <w:spacing w:before="280" w:after="290" w:line="376" w:lineRule="auto"/>
      <w:outlineLvl w:val="3"/>
    </w:pPr>
    <w:rPr>
      <w:rFonts w:ascii="Arial" w:hAnsi="Arial" w:eastAsia="黑体"/>
      <w:b w:val="0"/>
      <w:bCs w:val="0"/>
      <w:sz w:val="28"/>
      <w:szCs w:val="28"/>
    </w:rPr>
  </w:style>
  <w:style w:type="paragraph" w:styleId="5">
    <w:name w:val="heading 7"/>
    <w:basedOn w:val="1"/>
    <w:next w:val="1"/>
    <w:unhideWhenUsed/>
    <w:qFormat/>
    <w:uiPriority w:val="0"/>
    <w:pPr>
      <w:keepNext/>
      <w:keepLines/>
      <w:numPr>
        <w:ilvl w:val="6"/>
        <w:numId w:val="1"/>
      </w:numPr>
      <w:spacing w:before="240" w:after="64" w:line="320" w:lineRule="auto"/>
      <w:outlineLvl w:val="6"/>
    </w:pPr>
    <w:rPr>
      <w:b/>
      <w:bCs/>
      <w:sz w:val="2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szCs w:val="21"/>
    </w:rPr>
  </w:style>
  <w:style w:type="paragraph" w:styleId="7">
    <w:name w:val="annotation text"/>
    <w:basedOn w:val="1"/>
    <w:unhideWhenUsed/>
    <w:qFormat/>
    <w:uiPriority w:val="0"/>
    <w:pPr>
      <w:jc w:val="left"/>
    </w:pPr>
    <w:rPr>
      <w:rFonts w:ascii="Calibri" w:hAnsi="Calibri"/>
      <w:szCs w:val="22"/>
    </w:rPr>
  </w:style>
  <w:style w:type="paragraph" w:styleId="8">
    <w:name w:val="Body Text"/>
    <w:basedOn w:val="1"/>
    <w:qFormat/>
    <w:uiPriority w:val="0"/>
    <w:pPr>
      <w:spacing w:after="120"/>
    </w:pPr>
    <w:rPr>
      <w:szCs w:val="21"/>
    </w:rPr>
  </w:style>
  <w:style w:type="paragraph" w:styleId="9">
    <w:name w:val="Body Text Indent"/>
    <w:basedOn w:val="1"/>
    <w:qFormat/>
    <w:uiPriority w:val="0"/>
    <w:pPr>
      <w:adjustRightInd w:val="0"/>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列出段落1"/>
    <w:basedOn w:val="1"/>
    <w:qFormat/>
    <w:uiPriority w:val="34"/>
    <w:pPr>
      <w:ind w:firstLine="420" w:firstLineChars="200"/>
    </w:pPr>
    <w:rPr>
      <w:szCs w:val="21"/>
    </w:rPr>
  </w:style>
  <w:style w:type="paragraph" w:customStyle="1" w:styleId="14">
    <w:name w:val="_Style 7"/>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983</Words>
  <Characters>1020</Characters>
  <Lines>14</Lines>
  <Paragraphs>4</Paragraphs>
  <TotalTime>63</TotalTime>
  <ScaleCrop>false</ScaleCrop>
  <LinksUpToDate>false</LinksUpToDate>
  <CharactersWithSpaces>1020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2022-02-17T01:07:00Z</dcterms:created>
  <dc:creator>lbl</dc:creator>
  <cp:lastModifiedBy>   </cp:lastModifiedBy>
  <dcterms:modified xsi:type="dcterms:W3CDTF">2026-03-13T02:29:28Z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9FDD80AED7814E418D9B7BA63E81CAE7</vt:lpwstr>
  </property>
  <property fmtid="{D5CDD505-2E9C-101B-9397-08002B2CF9AE}" pid="4" name="KSOTemplateDocerSaveRecord">
    <vt:lpwstr>eyJoZGlkIjoiMzEwNTM5NzYwMDRjMzkwZTVkZjY2ODkwMGIxNGU0OTUiLCJ1c2VySWQiOiIyNjY5NDc5MzQifQ==</vt:lpwstr>
  </property>
</Properties>
</file>