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sz w:val="28"/>
          <w:szCs w:val="28"/>
        </w:rPr>
      </w:pPr>
    </w:p>
    <w:p>
      <w:pPr>
        <w:spacing w:line="560" w:lineRule="exact"/>
        <w:rPr>
          <w:rFonts w:ascii="宋体" w:hAnsi="宋体"/>
          <w:sz w:val="28"/>
          <w:szCs w:val="28"/>
        </w:rPr>
      </w:pPr>
      <w:r>
        <w:rPr>
          <w:rFonts w:hint="eastAsia" w:ascii="宋体" w:hAnsi="宋体"/>
          <w:sz w:val="28"/>
          <w:szCs w:val="28"/>
        </w:rPr>
        <w:t>校内各部门：</w:t>
      </w:r>
    </w:p>
    <w:p>
      <w:pPr>
        <w:spacing w:line="560" w:lineRule="exact"/>
        <w:ind w:left="840" w:hanging="840" w:hangingChars="300"/>
        <w:jc w:val="left"/>
        <w:rPr>
          <w:rFonts w:ascii="宋体" w:hAnsi="宋体" w:cs="楷体_GB2312"/>
          <w:color w:val="000000"/>
          <w:kern w:val="0"/>
          <w:sz w:val="28"/>
          <w:szCs w:val="28"/>
        </w:rPr>
      </w:pPr>
      <w:r>
        <w:rPr>
          <w:rFonts w:hint="eastAsia" w:ascii="宋体" w:hAnsi="宋体"/>
          <w:sz w:val="28"/>
          <w:szCs w:val="28"/>
        </w:rPr>
        <w:t xml:space="preserve">    经研究，现将《</w:t>
      </w:r>
      <w:r>
        <w:rPr>
          <w:rFonts w:hint="eastAsia" w:ascii="宋体" w:hAnsi="宋体" w:cs="楷体_GB2312"/>
          <w:color w:val="000000"/>
          <w:kern w:val="0"/>
          <w:sz w:val="28"/>
          <w:szCs w:val="28"/>
        </w:rPr>
        <w:t>上海海事大学高等技术学院、继续教育学院、上</w:t>
      </w:r>
    </w:p>
    <w:p>
      <w:pPr>
        <w:spacing w:line="560" w:lineRule="exact"/>
        <w:ind w:left="840" w:hanging="840" w:hangingChars="300"/>
        <w:jc w:val="left"/>
        <w:rPr>
          <w:rFonts w:ascii="宋体" w:hAnsi="宋体" w:cs="宋体"/>
          <w:kern w:val="0"/>
          <w:sz w:val="28"/>
          <w:szCs w:val="28"/>
        </w:rPr>
      </w:pPr>
      <w:r>
        <w:rPr>
          <w:rFonts w:hint="eastAsia" w:ascii="宋体" w:hAnsi="宋体" w:cs="楷体_GB2312"/>
          <w:color w:val="000000"/>
          <w:kern w:val="0"/>
          <w:sz w:val="28"/>
          <w:szCs w:val="28"/>
        </w:rPr>
        <w:t>海港湾学校</w:t>
      </w:r>
      <w:r>
        <w:rPr>
          <w:rFonts w:hint="eastAsia" w:ascii="宋体" w:hAnsi="宋体" w:cs="楷体_GB2312"/>
          <w:color w:val="000000"/>
          <w:kern w:val="0"/>
          <w:sz w:val="28"/>
          <w:szCs w:val="28"/>
          <w:lang w:eastAsia="zh-CN"/>
        </w:rPr>
        <w:t>公务</w:t>
      </w:r>
      <w:r>
        <w:rPr>
          <w:rFonts w:hint="eastAsia" w:ascii="宋体" w:hAnsi="宋体" w:cs="楷体_GB2312"/>
          <w:color w:val="000000"/>
          <w:kern w:val="0"/>
          <w:sz w:val="28"/>
          <w:szCs w:val="28"/>
        </w:rPr>
        <w:t>车辆使用管理规定》</w:t>
      </w:r>
      <w:r>
        <w:rPr>
          <w:rFonts w:hint="eastAsia" w:ascii="宋体" w:hAnsi="宋体"/>
          <w:sz w:val="28"/>
          <w:szCs w:val="28"/>
        </w:rPr>
        <w:t>予以印发,请遵照执行。</w:t>
      </w:r>
    </w:p>
    <w:p>
      <w:pPr>
        <w:spacing w:line="560" w:lineRule="exact"/>
        <w:rPr>
          <w:rFonts w:ascii="宋体" w:hAnsi="宋体"/>
          <w:sz w:val="28"/>
          <w:szCs w:val="28"/>
        </w:rPr>
      </w:pPr>
      <w:r>
        <w:rPr>
          <w:rFonts w:hint="eastAsia" w:ascii="宋体" w:hAnsi="宋体"/>
          <w:sz w:val="28"/>
          <w:szCs w:val="28"/>
        </w:rPr>
        <w:t> </w:t>
      </w:r>
    </w:p>
    <w:p>
      <w:pPr>
        <w:spacing w:line="560" w:lineRule="exact"/>
        <w:ind w:left="840" w:hanging="840" w:hangingChars="300"/>
        <w:jc w:val="left"/>
        <w:rPr>
          <w:rFonts w:ascii="宋体" w:hAnsi="宋体" w:cs="宋体"/>
          <w:kern w:val="0"/>
          <w:sz w:val="28"/>
          <w:szCs w:val="28"/>
        </w:rPr>
      </w:pPr>
      <w:r>
        <w:rPr>
          <w:rFonts w:hint="eastAsia" w:ascii="宋体" w:hAnsi="宋体"/>
          <w:sz w:val="28"/>
          <w:szCs w:val="28"/>
        </w:rPr>
        <w:t>附件：</w:t>
      </w:r>
      <w:r>
        <w:rPr>
          <w:rFonts w:hint="eastAsia" w:ascii="宋体" w:hAnsi="宋体" w:cs="楷体_GB2312"/>
          <w:color w:val="000000"/>
          <w:kern w:val="0"/>
          <w:sz w:val="28"/>
          <w:szCs w:val="28"/>
        </w:rPr>
        <w:t>上海海事大学高等技术学院、继续教育学院、上海港湾学校</w:t>
      </w:r>
      <w:r>
        <w:rPr>
          <w:rFonts w:hint="eastAsia" w:ascii="宋体" w:hAnsi="宋体" w:cs="楷体_GB2312"/>
          <w:color w:val="000000"/>
          <w:kern w:val="0"/>
          <w:sz w:val="28"/>
          <w:szCs w:val="28"/>
          <w:lang w:eastAsia="zh-CN"/>
        </w:rPr>
        <w:t>公务</w:t>
      </w:r>
      <w:r>
        <w:rPr>
          <w:rFonts w:hint="eastAsia" w:ascii="宋体" w:hAnsi="宋体" w:cs="楷体_GB2312"/>
          <w:color w:val="000000"/>
          <w:kern w:val="0"/>
          <w:sz w:val="28"/>
          <w:szCs w:val="28"/>
        </w:rPr>
        <w:t>车辆使用管理规定</w:t>
      </w:r>
    </w:p>
    <w:p>
      <w:pPr>
        <w:spacing w:line="360" w:lineRule="auto"/>
        <w:ind w:firstLine="4060" w:firstLineChars="1450"/>
        <w:rPr>
          <w:rFonts w:cs="宋体" w:asciiTheme="minorEastAsia" w:hAnsiTheme="minorEastAsia"/>
          <w:color w:val="000000" w:themeColor="text1"/>
          <w:kern w:val="0"/>
          <w:sz w:val="28"/>
          <w:szCs w:val="28"/>
        </w:rPr>
      </w:pPr>
    </w:p>
    <w:p>
      <w:pPr>
        <w:spacing w:line="360" w:lineRule="auto"/>
        <w:ind w:firstLine="4060" w:firstLineChars="1450"/>
        <w:rPr>
          <w:rFonts w:cs="宋体" w:asciiTheme="minorEastAsia" w:hAnsiTheme="minorEastAsia"/>
          <w:color w:val="000000" w:themeColor="text1"/>
          <w:kern w:val="0"/>
          <w:sz w:val="28"/>
          <w:szCs w:val="28"/>
        </w:rPr>
      </w:pPr>
    </w:p>
    <w:p>
      <w:pPr>
        <w:spacing w:line="360" w:lineRule="auto"/>
        <w:ind w:firstLine="4060" w:firstLineChars="1450"/>
        <w:rPr>
          <w:rFonts w:asciiTheme="minorEastAsia" w:hAnsiTheme="minorEastAsia"/>
          <w:color w:val="000000" w:themeColor="text1"/>
          <w:kern w:val="0"/>
          <w:sz w:val="28"/>
          <w:szCs w:val="28"/>
        </w:rPr>
      </w:pPr>
      <w:r>
        <w:rPr>
          <w:rFonts w:hint="eastAsia" w:cs="宋体" w:asciiTheme="minorEastAsia" w:hAnsiTheme="minorEastAsia"/>
          <w:color w:val="000000" w:themeColor="text1"/>
          <w:kern w:val="0"/>
          <w:sz w:val="28"/>
          <w:szCs w:val="28"/>
        </w:rPr>
        <w:t>上</w:t>
      </w:r>
      <w:r>
        <w:rPr>
          <w:rFonts w:hint="eastAsia" w:asciiTheme="minorEastAsia" w:hAnsiTheme="minorEastAsia"/>
          <w:color w:val="000000" w:themeColor="text1"/>
          <w:kern w:val="0"/>
          <w:sz w:val="28"/>
          <w:szCs w:val="28"/>
        </w:rPr>
        <w:t>海海事大学高等技术学院、</w:t>
      </w:r>
    </w:p>
    <w:p>
      <w:pPr>
        <w:spacing w:line="360" w:lineRule="auto"/>
        <w:ind w:firstLine="3920" w:firstLineChars="1400"/>
        <w:rPr>
          <w:rFonts w:asciiTheme="minorEastAsia" w:hAnsiTheme="minorEastAsia"/>
          <w:color w:val="000000"/>
          <w:sz w:val="28"/>
          <w:szCs w:val="28"/>
        </w:rPr>
      </w:pPr>
      <w:r>
        <w:rPr>
          <w:rFonts w:hint="eastAsia" w:asciiTheme="minorEastAsia" w:hAnsiTheme="minorEastAsia"/>
          <w:color w:val="000000" w:themeColor="text1"/>
          <w:kern w:val="0"/>
          <w:sz w:val="28"/>
          <w:szCs w:val="28"/>
        </w:rPr>
        <w:t>继续教育学院、上海港湾学校</w:t>
      </w:r>
      <w:r>
        <w:rPr>
          <w:rFonts w:hint="eastAsia" w:asciiTheme="minorEastAsia" w:hAnsiTheme="minorEastAsia"/>
          <w:color w:val="000000"/>
          <w:sz w:val="28"/>
          <w:szCs w:val="28"/>
        </w:rPr>
        <w:t xml:space="preserve">      </w:t>
      </w:r>
    </w:p>
    <w:p>
      <w:pPr>
        <w:spacing w:line="360" w:lineRule="auto"/>
        <w:ind w:firstLine="4620" w:firstLineChars="1650"/>
        <w:rPr>
          <w:rFonts w:asciiTheme="minorEastAsia" w:hAnsiTheme="minorEastAsia"/>
          <w:color w:val="000000"/>
          <w:sz w:val="28"/>
          <w:szCs w:val="28"/>
        </w:rPr>
      </w:pPr>
      <w:r>
        <w:rPr>
          <w:rFonts w:hint="eastAsia" w:asciiTheme="minorEastAsia" w:hAnsiTheme="minorEastAsia"/>
          <w:color w:val="000000"/>
          <w:sz w:val="28"/>
          <w:szCs w:val="28"/>
        </w:rPr>
        <w:t>201</w:t>
      </w:r>
      <w:r>
        <w:rPr>
          <w:rFonts w:hint="eastAsia" w:asciiTheme="minorEastAsia" w:hAnsiTheme="minorEastAsia"/>
          <w:color w:val="000000"/>
          <w:sz w:val="28"/>
          <w:szCs w:val="28"/>
          <w:lang w:val="en-US" w:eastAsia="zh-CN"/>
        </w:rPr>
        <w:t>9</w:t>
      </w:r>
      <w:r>
        <w:rPr>
          <w:rFonts w:hint="eastAsia" w:asciiTheme="minorEastAsia" w:hAnsiTheme="minorEastAsia"/>
          <w:color w:val="000000"/>
          <w:sz w:val="28"/>
          <w:szCs w:val="28"/>
        </w:rPr>
        <w:t>年</w:t>
      </w:r>
      <w:r>
        <w:rPr>
          <w:rFonts w:hint="eastAsia" w:asciiTheme="minorEastAsia" w:hAnsiTheme="minorEastAsia"/>
          <w:color w:val="000000"/>
          <w:sz w:val="28"/>
          <w:szCs w:val="28"/>
          <w:lang w:val="en-US" w:eastAsia="zh-CN"/>
        </w:rPr>
        <w:t>5</w:t>
      </w:r>
      <w:r>
        <w:rPr>
          <w:rFonts w:hint="eastAsia" w:asciiTheme="minorEastAsia" w:hAnsiTheme="minorEastAsia"/>
          <w:color w:val="000000"/>
          <w:sz w:val="28"/>
          <w:szCs w:val="28"/>
        </w:rPr>
        <w:t>月2</w:t>
      </w:r>
      <w:r>
        <w:rPr>
          <w:rFonts w:hint="eastAsia" w:asciiTheme="minorEastAsia" w:hAnsiTheme="minorEastAsia"/>
          <w:color w:val="000000"/>
          <w:sz w:val="28"/>
          <w:szCs w:val="28"/>
          <w:lang w:val="en-US" w:eastAsia="zh-CN"/>
        </w:rPr>
        <w:t>0</w:t>
      </w:r>
      <w:r>
        <w:rPr>
          <w:rFonts w:hint="eastAsia" w:asciiTheme="minorEastAsia" w:hAnsiTheme="minorEastAsia"/>
          <w:color w:val="000000"/>
          <w:sz w:val="28"/>
          <w:szCs w:val="28"/>
        </w:rPr>
        <w:t>日</w:t>
      </w:r>
    </w:p>
    <w:p>
      <w:pPr>
        <w:pStyle w:val="3"/>
        <w:spacing w:line="412" w:lineRule="auto"/>
        <w:ind w:right="1260" w:rightChars="600"/>
        <w:jc w:val="center"/>
        <w:rPr>
          <w:rFonts w:cs="楷体_GB2312" w:asciiTheme="majorEastAsia" w:hAnsiTheme="majorEastAsia"/>
          <w:color w:val="000000" w:themeColor="text1"/>
          <w:kern w:val="0"/>
        </w:rPr>
      </w:pPr>
    </w:p>
    <w:p>
      <w:pPr>
        <w:pStyle w:val="4"/>
        <w:spacing w:line="360" w:lineRule="auto"/>
        <w:jc w:val="center"/>
        <w:rPr>
          <w:rFonts w:hint="eastAsia" w:asciiTheme="majorEastAsia" w:hAnsiTheme="majorEastAsia" w:eastAsiaTheme="majorEastAsia"/>
        </w:rPr>
      </w:pPr>
    </w:p>
    <w:p>
      <w:pPr>
        <w:rPr>
          <w:rFonts w:hint="eastAsia" w:asciiTheme="majorEastAsia" w:hAnsiTheme="majorEastAsia" w:eastAsiaTheme="majorEastAsia"/>
        </w:rPr>
      </w:pPr>
    </w:p>
    <w:p>
      <w:pPr>
        <w:rPr>
          <w:rFonts w:hint="eastAsia" w:asciiTheme="majorEastAsia" w:hAnsiTheme="majorEastAsia" w:eastAsiaTheme="majorEastAsia"/>
        </w:rPr>
      </w:pPr>
    </w:p>
    <w:p>
      <w:pPr>
        <w:pStyle w:val="4"/>
        <w:spacing w:line="360" w:lineRule="auto"/>
        <w:jc w:val="center"/>
        <w:rPr>
          <w:rFonts w:asciiTheme="majorEastAsia" w:hAnsiTheme="majorEastAsia" w:eastAsiaTheme="majorEastAsia"/>
        </w:rPr>
      </w:pPr>
      <w:r>
        <w:rPr>
          <w:rFonts w:hint="eastAsia" w:asciiTheme="majorEastAsia" w:hAnsiTheme="majorEastAsia" w:eastAsiaTheme="majorEastAsia"/>
        </w:rPr>
        <w:t>上海海事大学高等技术学院、继续教育学院、上海港湾学校公务车辆使用管理规定</w:t>
      </w:r>
    </w:p>
    <w:p>
      <w:pPr>
        <w:pStyle w:val="5"/>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目的</w:t>
      </w:r>
    </w:p>
    <w:p>
      <w:pPr>
        <w:pStyle w:val="9"/>
        <w:adjustRightInd w:val="0"/>
        <w:snapToGrid w:val="0"/>
        <w:spacing w:line="360" w:lineRule="auto"/>
        <w:ind w:firstLine="560" w:firstLineChars="200"/>
        <w:contextualSpacing/>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rPr>
        <w:t>为了规范管理上海海事大学高等技术学院、继续教育学院、上海港湾学校（以下简称“港湾校区”）的车辆使用，</w:t>
      </w:r>
      <w:r>
        <w:rPr>
          <w:rFonts w:hint="eastAsia" w:asciiTheme="minorEastAsia" w:hAnsiTheme="minorEastAsia" w:eastAsiaTheme="minorEastAsia" w:cstheme="minorEastAsia"/>
          <w:sz w:val="28"/>
          <w:szCs w:val="28"/>
          <w:shd w:val="clear" w:color="auto" w:fill="FFFFFF"/>
        </w:rPr>
        <w:t>推动节能减排，提高运行效率，降低运行成本，促进党风廉政建设，根据《上海市党政机关公务用车集中使用管理办法》和</w:t>
      </w:r>
      <w:r>
        <w:rPr>
          <w:rFonts w:hint="eastAsia" w:asciiTheme="minorEastAsia" w:hAnsiTheme="minorEastAsia" w:eastAsiaTheme="minorEastAsia" w:cstheme="minorEastAsia"/>
          <w:sz w:val="28"/>
          <w:szCs w:val="28"/>
        </w:rPr>
        <w:t>《上海海事大学公务车辆使用管理办法》</w:t>
      </w:r>
      <w:r>
        <w:rPr>
          <w:rFonts w:hint="eastAsia" w:asciiTheme="minorEastAsia" w:hAnsiTheme="minorEastAsia" w:eastAsiaTheme="minorEastAsia" w:cstheme="minorEastAsia"/>
          <w:sz w:val="28"/>
          <w:szCs w:val="28"/>
          <w:shd w:val="clear" w:color="auto" w:fill="FFFFFF"/>
        </w:rPr>
        <w:t>，结合学校实际，制定本规定。</w:t>
      </w:r>
    </w:p>
    <w:p>
      <w:pPr>
        <w:pStyle w:val="5"/>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范围</w:t>
      </w:r>
    </w:p>
    <w:p>
      <w:pPr>
        <w:pStyle w:val="9"/>
        <w:adjustRightInd w:val="0"/>
        <w:snapToGrid w:val="0"/>
        <w:spacing w:line="360" w:lineRule="auto"/>
        <w:ind w:firstLine="560" w:firstLineChars="200"/>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本规定所指公务车辆是指公务用车制度改革后，经核准可以留用的公务车辆。租用的用于学校公务保障的社会车辆参照本规定管理。</w:t>
      </w:r>
    </w:p>
    <w:p>
      <w:pPr>
        <w:pStyle w:val="5"/>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原则</w:t>
      </w:r>
    </w:p>
    <w:p>
      <w:pPr>
        <w:pStyle w:val="9"/>
        <w:adjustRightInd w:val="0"/>
        <w:snapToGrid w:val="0"/>
        <w:spacing w:line="360" w:lineRule="auto"/>
        <w:ind w:firstLine="350" w:firstLineChars="125"/>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公务用车应坚持集中管理，统一调度，提高使用效率，避免浪费。处理学校公务提倡公共交通绿色出行。学校公务车主要保证学校相关人员处理学校重要公务及急办事务等用车。严禁公车私用。</w:t>
      </w:r>
    </w:p>
    <w:p>
      <w:pPr>
        <w:pStyle w:val="9"/>
        <w:adjustRightInd w:val="0"/>
        <w:snapToGrid w:val="0"/>
        <w:spacing w:line="360" w:lineRule="auto"/>
        <w:ind w:firstLine="420" w:firstLineChars="150"/>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车辆使用由后勤办公室统一调度，公务用车一般用于以下情况：</w:t>
      </w:r>
    </w:p>
    <w:p>
      <w:pPr>
        <w:pStyle w:val="9"/>
        <w:numPr>
          <w:ilvl w:val="0"/>
          <w:numId w:val="2"/>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完成学校重要或紧急的公务。</w:t>
      </w:r>
    </w:p>
    <w:p>
      <w:pPr>
        <w:pStyle w:val="9"/>
        <w:numPr>
          <w:ilvl w:val="0"/>
          <w:numId w:val="2"/>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重要的接待公务。</w:t>
      </w:r>
    </w:p>
    <w:p>
      <w:pPr>
        <w:pStyle w:val="9"/>
        <w:numPr>
          <w:ilvl w:val="0"/>
          <w:numId w:val="2"/>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存取现金或接送大宗物品、重要文件、贵重物品等。</w:t>
      </w:r>
    </w:p>
    <w:p>
      <w:pPr>
        <w:pStyle w:val="9"/>
        <w:numPr>
          <w:ilvl w:val="0"/>
          <w:numId w:val="2"/>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偏远乡镇及交通不便地区的公务。</w:t>
      </w:r>
    </w:p>
    <w:p>
      <w:pPr>
        <w:pStyle w:val="5"/>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职责</w:t>
      </w:r>
    </w:p>
    <w:p>
      <w:pPr>
        <w:pStyle w:val="9"/>
        <w:numPr>
          <w:ilvl w:val="0"/>
          <w:numId w:val="3"/>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校区领导负责分管部门公务用车的审批。</w:t>
      </w:r>
    </w:p>
    <w:p>
      <w:pPr>
        <w:pStyle w:val="9"/>
        <w:numPr>
          <w:ilvl w:val="0"/>
          <w:numId w:val="3"/>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部门负责人负责本部门员工的用车审核，除特殊情况外，提倡教职工乘坐公共交通工具出行。</w:t>
      </w:r>
    </w:p>
    <w:p>
      <w:pPr>
        <w:pStyle w:val="9"/>
        <w:numPr>
          <w:ilvl w:val="0"/>
          <w:numId w:val="3"/>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后勤服务中心负责审查用车申请程序，并根据公务实际需要，统筹安排车辆。</w:t>
      </w:r>
    </w:p>
    <w:p>
      <w:pPr>
        <w:pStyle w:val="5"/>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程序</w:t>
      </w:r>
    </w:p>
    <w:p>
      <w:pPr>
        <w:pStyle w:val="9"/>
        <w:numPr>
          <w:ilvl w:val="0"/>
          <w:numId w:val="4"/>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用车联系人须事先填写《上海海事大学港湾校区用车申请单》（含租用大客车等），提出用车申请，由部门负责人和分管领导签字审批，报送后勤办公室。</w:t>
      </w:r>
    </w:p>
    <w:p>
      <w:pPr>
        <w:pStyle w:val="9"/>
        <w:numPr>
          <w:ilvl w:val="0"/>
          <w:numId w:val="4"/>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后勤办公室根据公务的实际需要，统筹调度车辆。</w:t>
      </w:r>
    </w:p>
    <w:p>
      <w:pPr>
        <w:pStyle w:val="9"/>
        <w:numPr>
          <w:ilvl w:val="0"/>
          <w:numId w:val="4"/>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后勤办公室将最后的派车情况于前一天16：00前反馈给用车联系人。</w:t>
      </w:r>
    </w:p>
    <w:p>
      <w:pPr>
        <w:pStyle w:val="9"/>
        <w:numPr>
          <w:ilvl w:val="0"/>
          <w:numId w:val="4"/>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车辆出车返回后，驾驶员应及时向后勤办公室报告，以便车辆调度。</w:t>
      </w:r>
    </w:p>
    <w:p>
      <w:pPr>
        <w:pStyle w:val="5"/>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车辆驾驶与行车安全</w:t>
      </w:r>
    </w:p>
    <w:p>
      <w:pPr>
        <w:pStyle w:val="9"/>
        <w:numPr>
          <w:ilvl w:val="0"/>
          <w:numId w:val="5"/>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驾驶员严格遵守国家有关驾驶员、车辆各项管理法规，遵守学校制定的用车管理规定。要自觉提高自身安全意识，坚持安全第一的思想，谨慎驾驶。严禁酒后驾驶及其他违法、违规行为。</w:t>
      </w:r>
    </w:p>
    <w:p>
      <w:pPr>
        <w:pStyle w:val="9"/>
        <w:numPr>
          <w:ilvl w:val="0"/>
          <w:numId w:val="5"/>
        </w:numPr>
        <w:adjustRightInd w:val="0"/>
        <w:snapToGrid w:val="0"/>
        <w:spacing w:line="360" w:lineRule="auto"/>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严格公务用车使用登记制度，严格登记用车时间、事由、地点、里程、油耗、费用等信息。公务用车严格实行回指定区域停放。</w:t>
      </w:r>
    </w:p>
    <w:p>
      <w:pPr>
        <w:pStyle w:val="9"/>
        <w:adjustRightInd w:val="0"/>
        <w:snapToGrid w:val="0"/>
        <w:spacing w:line="360" w:lineRule="auto"/>
        <w:ind w:left="630"/>
        <w:contextualSpacing/>
        <w:rPr>
          <w:rFonts w:hint="eastAsia" w:asciiTheme="minorEastAsia" w:hAnsiTheme="minorEastAsia" w:eastAsiaTheme="minorEastAsia" w:cstheme="minorEastAsia"/>
          <w:sz w:val="28"/>
          <w:szCs w:val="28"/>
        </w:rPr>
      </w:pPr>
    </w:p>
    <w:p>
      <w:pPr>
        <w:pStyle w:val="5"/>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其他</w:t>
      </w:r>
    </w:p>
    <w:p>
      <w:pPr>
        <w:pStyle w:val="9"/>
        <w:adjustRightInd w:val="0"/>
        <w:snapToGrid w:val="0"/>
        <w:spacing w:line="360" w:lineRule="auto"/>
        <w:ind w:firstLine="630" w:firstLineChars="225"/>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公务车一般不得驶离本市区域，学校工作人员到外地办理公务，除特殊情况外，应当尽量乘用公共交通工具。确因工作需要乘公务车驶离本市区域的，除须校区分管领导审批外，还须报请院（校）长同意，并严格履行外出登记和返沪核销手续。</w:t>
      </w:r>
    </w:p>
    <w:p>
      <w:pPr>
        <w:pStyle w:val="9"/>
        <w:adjustRightInd w:val="0"/>
        <w:snapToGrid w:val="0"/>
        <w:spacing w:line="360" w:lineRule="auto"/>
        <w:ind w:firstLine="630" w:firstLineChars="225"/>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2、本规定自公布之日起施行，原《上海海事大学高等技术学院、继续教育学院、上海港湾学公务车辆使用管理规定》【沪海港院办字（2018）79号】同时废止。</w:t>
      </w:r>
    </w:p>
    <w:p>
      <w:pPr>
        <w:pStyle w:val="9"/>
        <w:adjustRightInd w:val="0"/>
        <w:snapToGrid w:val="0"/>
        <w:spacing w:line="360" w:lineRule="auto"/>
        <w:ind w:firstLine="630" w:firstLineChars="225"/>
        <w:contextualSpacing/>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3、本规定由办公室会同后勤服务中心负责解释。</w:t>
      </w:r>
    </w:p>
    <w:p>
      <w:pPr>
        <w:wordWrap w:val="0"/>
        <w:spacing w:line="360" w:lineRule="auto"/>
        <w:ind w:right="420"/>
        <w:jc w:val="right"/>
        <w:rPr>
          <w:rFonts w:hint="eastAsia" w:asciiTheme="minorEastAsia" w:hAnsiTheme="minorEastAsia" w:eastAsiaTheme="minorEastAsia" w:cstheme="minorEastAsia"/>
          <w:kern w:val="0"/>
          <w:sz w:val="28"/>
          <w:szCs w:val="28"/>
        </w:rPr>
      </w:pPr>
    </w:p>
    <w:p>
      <w:pPr>
        <w:wordWrap w:val="0"/>
        <w:spacing w:line="360" w:lineRule="auto"/>
        <w:ind w:right="420"/>
        <w:jc w:val="right"/>
        <w:rPr>
          <w:rFonts w:hint="eastAsia" w:asciiTheme="minorEastAsia" w:hAnsiTheme="minorEastAsia" w:eastAsiaTheme="minorEastAsia" w:cstheme="minorEastAsia"/>
          <w:kern w:val="0"/>
          <w:sz w:val="28"/>
          <w:szCs w:val="28"/>
        </w:rPr>
      </w:pPr>
    </w:p>
    <w:p>
      <w:pPr>
        <w:wordWrap w:val="0"/>
        <w:spacing w:line="360" w:lineRule="auto"/>
        <w:ind w:right="420"/>
        <w:jc w:val="right"/>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上海海事大学高等技术学院、</w:t>
      </w:r>
    </w:p>
    <w:p>
      <w:pPr>
        <w:wordWrap w:val="0"/>
        <w:spacing w:line="360" w:lineRule="auto"/>
        <w:ind w:right="56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rPr>
        <w:t>继续教育学院、上海港湾学校</w:t>
      </w:r>
    </w:p>
    <w:p>
      <w:pPr>
        <w:spacing w:line="360" w:lineRule="auto"/>
        <w:ind w:right="560" w:firstLine="4900" w:firstLineChars="17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2019年5月20日</w:t>
      </w:r>
    </w:p>
    <w:p>
      <w:pPr>
        <w:spacing w:line="360" w:lineRule="auto"/>
        <w:rPr>
          <w:rFonts w:hint="eastAsia" w:asciiTheme="minorEastAsia" w:hAnsiTheme="minorEastAsia" w:eastAsiaTheme="minorEastAsia" w:cstheme="minorEastAsia"/>
          <w:sz w:val="28"/>
          <w:szCs w:val="28"/>
        </w:rPr>
      </w:pPr>
    </w:p>
    <w:p>
      <w:bookmarkStart w:id="0" w:name="_GoBack"/>
      <w:bookmarkEnd w:id="0"/>
    </w:p>
    <w:sectPr>
      <w:headerReference r:id="rId4" w:type="first"/>
      <w:head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ind w:firstLine="723" w:firstLineChars="200"/>
      <w:jc w:val="center"/>
      <w:rPr>
        <w:rFonts w:ascii="楷体_GB2312" w:eastAsia="楷体_GB2312"/>
        <w:color w:val="FF0000"/>
        <w:sz w:val="36"/>
        <w:szCs w:val="36"/>
      </w:rPr>
    </w:pPr>
    <w:r>
      <w:rPr>
        <w:rFonts w:hint="eastAsia" w:ascii="楷体_GB2312" w:eastAsia="楷体_GB2312"/>
        <w:color w:val="FF0000"/>
        <w:sz w:val="36"/>
        <w:szCs w:val="36"/>
      </w:rPr>
      <w:t>上海海事大学</w:t>
    </w:r>
  </w:p>
  <w:p>
    <w:pPr>
      <w:pStyle w:val="2"/>
      <w:spacing w:line="240" w:lineRule="auto"/>
      <w:jc w:val="center"/>
      <w:rPr>
        <w:rFonts w:ascii="楷体_GB2312" w:eastAsia="楷体_GB2312"/>
        <w:color w:val="FF0000"/>
        <w:sz w:val="36"/>
        <w:szCs w:val="36"/>
      </w:rPr>
    </w:pPr>
    <w:r>
      <w:rPr>
        <w:rFonts w:hint="eastAsia" w:ascii="楷体_GB2312" w:eastAsia="楷体_GB2312"/>
        <w:color w:val="FF0000"/>
        <w:sz w:val="36"/>
        <w:szCs w:val="36"/>
      </w:rPr>
      <w:t>高等技术学院、继续教育学院、上海港湾学校</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                  沪海港院办字[201</w:t>
    </w:r>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 xml:space="preserve">] </w:t>
    </w:r>
    <w:r>
      <w:rPr>
        <w:rFonts w:hint="eastAsia" w:asciiTheme="majorEastAsia" w:hAnsiTheme="majorEastAsia" w:eastAsiaTheme="majorEastAsia"/>
        <w:sz w:val="28"/>
        <w:szCs w:val="28"/>
        <w:lang w:val="en-US" w:eastAsia="zh-CN"/>
      </w:rPr>
      <w:t>5</w:t>
    </w:r>
    <w:r>
      <w:rPr>
        <w:rFonts w:hint="eastAsia" w:asciiTheme="majorEastAsia" w:hAnsiTheme="majorEastAsia" w:eastAsiaTheme="majorEastAsia"/>
        <w:sz w:val="28"/>
        <w:szCs w:val="28"/>
      </w:rPr>
      <w:t>号</w:t>
    </w:r>
  </w:p>
  <w:p>
    <w:pPr>
      <w:pStyle w:val="8"/>
      <w:pBdr>
        <w:bottom w:val="single" w:color="FF0000" w:sz="24" w:space="1"/>
        <w:between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5D65"/>
    <w:multiLevelType w:val="multilevel"/>
    <w:tmpl w:val="10665D65"/>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F3E6532"/>
    <w:multiLevelType w:val="multilevel"/>
    <w:tmpl w:val="3F3E6532"/>
    <w:lvl w:ilvl="0" w:tentative="0">
      <w:start w:val="1"/>
      <w:numFmt w:val="decimal"/>
      <w:lvlText w:val="%1."/>
      <w:lvlJc w:val="left"/>
      <w:pPr>
        <w:ind w:left="780" w:hanging="420"/>
      </w:p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47792068"/>
    <w:multiLevelType w:val="multilevel"/>
    <w:tmpl w:val="47792068"/>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B7C4217"/>
    <w:multiLevelType w:val="multilevel"/>
    <w:tmpl w:val="6B7C4217"/>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77804B12"/>
    <w:multiLevelType w:val="multilevel"/>
    <w:tmpl w:val="77804B12"/>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4409"/>
    <w:rsid w:val="00040599"/>
    <w:rsid w:val="00043A2F"/>
    <w:rsid w:val="00072203"/>
    <w:rsid w:val="000B459E"/>
    <w:rsid w:val="000F2078"/>
    <w:rsid w:val="00102FFE"/>
    <w:rsid w:val="00152F57"/>
    <w:rsid w:val="001539F2"/>
    <w:rsid w:val="001A49C1"/>
    <w:rsid w:val="001F4273"/>
    <w:rsid w:val="002006B6"/>
    <w:rsid w:val="00233071"/>
    <w:rsid w:val="00254729"/>
    <w:rsid w:val="002571DA"/>
    <w:rsid w:val="002D13AD"/>
    <w:rsid w:val="00300466"/>
    <w:rsid w:val="00315B4D"/>
    <w:rsid w:val="00344A8A"/>
    <w:rsid w:val="00350139"/>
    <w:rsid w:val="003B134D"/>
    <w:rsid w:val="003D1F91"/>
    <w:rsid w:val="003E430A"/>
    <w:rsid w:val="00414DD9"/>
    <w:rsid w:val="004734E4"/>
    <w:rsid w:val="004877FB"/>
    <w:rsid w:val="004C14A6"/>
    <w:rsid w:val="004D5D5A"/>
    <w:rsid w:val="00561414"/>
    <w:rsid w:val="005739DD"/>
    <w:rsid w:val="00594DED"/>
    <w:rsid w:val="005D6B50"/>
    <w:rsid w:val="005F5517"/>
    <w:rsid w:val="005F710B"/>
    <w:rsid w:val="00600095"/>
    <w:rsid w:val="0060613C"/>
    <w:rsid w:val="00676A48"/>
    <w:rsid w:val="00693100"/>
    <w:rsid w:val="006C27F7"/>
    <w:rsid w:val="0070182E"/>
    <w:rsid w:val="00704C61"/>
    <w:rsid w:val="00744A5D"/>
    <w:rsid w:val="0076697A"/>
    <w:rsid w:val="007B1DDC"/>
    <w:rsid w:val="007C3D7C"/>
    <w:rsid w:val="007C5011"/>
    <w:rsid w:val="007C5298"/>
    <w:rsid w:val="007D47A0"/>
    <w:rsid w:val="007E0A83"/>
    <w:rsid w:val="008111B0"/>
    <w:rsid w:val="00844409"/>
    <w:rsid w:val="00884157"/>
    <w:rsid w:val="00887037"/>
    <w:rsid w:val="008D3779"/>
    <w:rsid w:val="00903609"/>
    <w:rsid w:val="00934CC9"/>
    <w:rsid w:val="0095554D"/>
    <w:rsid w:val="009A239E"/>
    <w:rsid w:val="009D285B"/>
    <w:rsid w:val="009E4A91"/>
    <w:rsid w:val="00A06505"/>
    <w:rsid w:val="00A26AAA"/>
    <w:rsid w:val="00A46C14"/>
    <w:rsid w:val="00A5379A"/>
    <w:rsid w:val="00A7784D"/>
    <w:rsid w:val="00AD31A4"/>
    <w:rsid w:val="00B33BBB"/>
    <w:rsid w:val="00B67E73"/>
    <w:rsid w:val="00B7128E"/>
    <w:rsid w:val="00B91B80"/>
    <w:rsid w:val="00BA03A3"/>
    <w:rsid w:val="00BA2AE7"/>
    <w:rsid w:val="00C03AF0"/>
    <w:rsid w:val="00C17511"/>
    <w:rsid w:val="00C35209"/>
    <w:rsid w:val="00C4312B"/>
    <w:rsid w:val="00C72C59"/>
    <w:rsid w:val="00CB03B7"/>
    <w:rsid w:val="00CE6EC4"/>
    <w:rsid w:val="00D171C6"/>
    <w:rsid w:val="00D25B3E"/>
    <w:rsid w:val="00D36F62"/>
    <w:rsid w:val="00D50D17"/>
    <w:rsid w:val="00D62368"/>
    <w:rsid w:val="00D9789F"/>
    <w:rsid w:val="00E37F07"/>
    <w:rsid w:val="00E63592"/>
    <w:rsid w:val="00F41345"/>
    <w:rsid w:val="00FB0C27"/>
    <w:rsid w:val="00FB3FAC"/>
    <w:rsid w:val="00FB7888"/>
    <w:rsid w:val="00FF5DC9"/>
    <w:rsid w:val="05BD1D5E"/>
    <w:rsid w:val="11005A1A"/>
    <w:rsid w:val="38B5161E"/>
    <w:rsid w:val="3C981855"/>
    <w:rsid w:val="3DA34BB7"/>
    <w:rsid w:val="4873537E"/>
    <w:rsid w:val="5FB63DF0"/>
    <w:rsid w:val="64A7385A"/>
    <w:rsid w:val="7A726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5"/>
    <w:qFormat/>
    <w:uiPriority w:val="0"/>
    <w:pPr>
      <w:keepNext/>
      <w:keepLines/>
      <w:spacing w:before="280" w:after="290" w:line="374"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18"/>
    <w:semiHidden/>
    <w:unhideWhenUsed/>
    <w:uiPriority w:val="99"/>
    <w:rPr>
      <w:sz w:val="18"/>
      <w:szCs w:val="18"/>
    </w:rPr>
  </w:style>
  <w:style w:type="paragraph" w:styleId="7">
    <w:name w:val="footer"/>
    <w:basedOn w:val="1"/>
    <w:link w:val="17"/>
    <w:semiHidden/>
    <w:unhideWhenUsed/>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Title"/>
    <w:basedOn w:val="2"/>
    <w:next w:val="1"/>
    <w:link w:val="13"/>
    <w:qFormat/>
    <w:uiPriority w:val="10"/>
    <w:pPr>
      <w:keepNext w:val="0"/>
      <w:keepLines w:val="0"/>
      <w:spacing w:before="240" w:after="60" w:line="240" w:lineRule="auto"/>
      <w:jc w:val="center"/>
    </w:pPr>
    <w:rPr>
      <w:rFonts w:asciiTheme="majorHAnsi" w:hAnsiTheme="majorHAnsi" w:cstheme="majorBidi"/>
      <w:kern w:val="2"/>
      <w:sz w:val="32"/>
      <w:szCs w:val="32"/>
    </w:rPr>
  </w:style>
  <w:style w:type="character" w:customStyle="1" w:styleId="13">
    <w:name w:val="标题 Char"/>
    <w:basedOn w:val="12"/>
    <w:link w:val="10"/>
    <w:uiPriority w:val="10"/>
    <w:rPr>
      <w:rFonts w:asciiTheme="majorHAnsi" w:hAnsiTheme="majorHAnsi" w:cstheme="majorBidi"/>
      <w:b/>
      <w:bCs/>
      <w:kern w:val="2"/>
      <w:sz w:val="32"/>
      <w:szCs w:val="32"/>
    </w:rPr>
  </w:style>
  <w:style w:type="character" w:customStyle="1" w:styleId="14">
    <w:name w:val="标题 1 Char"/>
    <w:basedOn w:val="12"/>
    <w:link w:val="2"/>
    <w:uiPriority w:val="9"/>
    <w:rPr>
      <w:b/>
      <w:bCs/>
      <w:kern w:val="44"/>
      <w:sz w:val="44"/>
      <w:szCs w:val="44"/>
    </w:rPr>
  </w:style>
  <w:style w:type="character" w:customStyle="1" w:styleId="15">
    <w:name w:val="标题 4 Char"/>
    <w:basedOn w:val="12"/>
    <w:link w:val="5"/>
    <w:qFormat/>
    <w:uiPriority w:val="0"/>
    <w:rPr>
      <w:rFonts w:ascii="Arial" w:hAnsi="Arial" w:eastAsia="黑体"/>
      <w:b/>
      <w:bCs/>
      <w:kern w:val="2"/>
      <w:sz w:val="28"/>
      <w:szCs w:val="28"/>
    </w:rPr>
  </w:style>
  <w:style w:type="character" w:customStyle="1" w:styleId="16">
    <w:name w:val="页眉 Char"/>
    <w:basedOn w:val="12"/>
    <w:link w:val="8"/>
    <w:qFormat/>
    <w:uiPriority w:val="99"/>
    <w:rPr>
      <w:kern w:val="2"/>
      <w:sz w:val="18"/>
      <w:szCs w:val="18"/>
    </w:rPr>
  </w:style>
  <w:style w:type="character" w:customStyle="1" w:styleId="17">
    <w:name w:val="页脚 Char"/>
    <w:basedOn w:val="12"/>
    <w:link w:val="7"/>
    <w:semiHidden/>
    <w:qFormat/>
    <w:uiPriority w:val="99"/>
    <w:rPr>
      <w:kern w:val="2"/>
      <w:sz w:val="18"/>
      <w:szCs w:val="18"/>
    </w:rPr>
  </w:style>
  <w:style w:type="character" w:customStyle="1" w:styleId="18">
    <w:name w:val="批注框文本 Char"/>
    <w:basedOn w:val="12"/>
    <w:link w:val="6"/>
    <w:semiHidden/>
    <w:uiPriority w:val="99"/>
    <w:rPr>
      <w:kern w:val="2"/>
      <w:sz w:val="18"/>
      <w:szCs w:val="18"/>
    </w:rPr>
  </w:style>
  <w:style w:type="character" w:customStyle="1" w:styleId="19">
    <w:name w:val="标题 3 Char"/>
    <w:basedOn w:val="12"/>
    <w:link w:val="4"/>
    <w:qFormat/>
    <w:uiPriority w:val="9"/>
    <w:rPr>
      <w:b/>
      <w:bCs/>
      <w:kern w:val="2"/>
      <w:sz w:val="32"/>
      <w:szCs w:val="32"/>
    </w:rPr>
  </w:style>
  <w:style w:type="character" w:customStyle="1" w:styleId="20">
    <w:name w:val="标题 2 Char"/>
    <w:basedOn w:val="12"/>
    <w:link w:val="3"/>
    <w:semiHidden/>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上海海事大学</Company>
  <Pages>1</Pages>
  <Words>67</Words>
  <Characters>388</Characters>
  <Lines>3</Lines>
  <Paragraphs>1</Paragraphs>
  <TotalTime>8</TotalTime>
  <ScaleCrop>false</ScaleCrop>
  <LinksUpToDate>false</LinksUpToDate>
  <CharactersWithSpaces>454</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2011-09-29T05:39:00Z</dcterms:created>
  <dc:creator>lf</dc:creator>
  <cp:lastModifiedBy>蔚蓝天空</cp:lastModifiedBy>
  <cp:lastPrinted>2019-05-21T06:43:00Z</cp:lastPrinted>
  <dcterms:modified xsi:type="dcterms:W3CDTF">2019-05-22T07:39:32Z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